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094B5" w14:textId="77777777" w:rsidR="00AB77B1" w:rsidRDefault="003A5CC3" w:rsidP="006E2247">
      <w:pPr>
        <w:pStyle w:val="12"/>
        <w:keepNext/>
        <w:keepLines/>
        <w:shd w:val="clear" w:color="auto" w:fill="auto"/>
        <w:spacing w:before="0" w:after="215" w:line="360" w:lineRule="auto"/>
        <w:jc w:val="center"/>
      </w:pPr>
      <w:bookmarkStart w:id="0" w:name="bookmark0"/>
      <w:r>
        <w:t>ПОЛИТИКА ЗА БОРБА С ИЗМАМИТЕ</w:t>
      </w:r>
      <w:bookmarkEnd w:id="0"/>
      <w:r w:rsidR="002A288B">
        <w:t xml:space="preserve"> И КОФЛИКТА НА ИНТЕРЕСИ</w:t>
      </w:r>
    </w:p>
    <w:p w14:paraId="7B758C70" w14:textId="77777777" w:rsidR="00AB77B1" w:rsidRPr="00491C6E" w:rsidRDefault="003A5CC3" w:rsidP="006E2247">
      <w:pPr>
        <w:pStyle w:val="12"/>
        <w:keepNext/>
        <w:keepLines/>
        <w:shd w:val="clear" w:color="auto" w:fill="auto"/>
        <w:spacing w:before="0" w:after="201" w:line="360" w:lineRule="auto"/>
      </w:pPr>
      <w:bookmarkStart w:id="1" w:name="bookmark1"/>
      <w:r w:rsidRPr="00491C6E">
        <w:rPr>
          <w:rStyle w:val="13"/>
          <w:b/>
          <w:bCs/>
        </w:rPr>
        <w:t>Въведение</w:t>
      </w:r>
      <w:bookmarkEnd w:id="1"/>
    </w:p>
    <w:p w14:paraId="679996BA" w14:textId="10F59384" w:rsidR="00AB77B1" w:rsidRPr="00491C6E" w:rsidRDefault="007E05BE" w:rsidP="009D3F33">
      <w:pPr>
        <w:pStyle w:val="20"/>
        <w:tabs>
          <w:tab w:val="left" w:pos="3686"/>
        </w:tabs>
        <w:spacing w:after="327" w:line="360" w:lineRule="auto"/>
        <w:ind w:firstLine="708"/>
        <w:jc w:val="both"/>
      </w:pPr>
      <w:r>
        <w:t>Дирекция „Управление на териториалното сътрудничество“</w:t>
      </w:r>
      <w:r w:rsidR="003933A5">
        <w:t xml:space="preserve"> (УТС)</w:t>
      </w:r>
      <w:r>
        <w:t xml:space="preserve"> в МРРБ, в качеството си на </w:t>
      </w:r>
      <w:r w:rsidR="00463970">
        <w:t xml:space="preserve">дирекция, която </w:t>
      </w:r>
      <w:r w:rsidR="00463970" w:rsidRPr="00463970">
        <w:t xml:space="preserve">организира, координира и контролира дейността на </w:t>
      </w:r>
      <w:r>
        <w:t>управляващ</w:t>
      </w:r>
      <w:r w:rsidR="00463970">
        <w:t>ия</w:t>
      </w:r>
      <w:r w:rsidR="003A5CC3" w:rsidRPr="00491C6E">
        <w:t xml:space="preserve"> орган (</w:t>
      </w:r>
      <w:r w:rsidR="003A5CC3" w:rsidRPr="007E05BE">
        <w:t xml:space="preserve">УО) </w:t>
      </w:r>
      <w:r w:rsidR="00463970">
        <w:t xml:space="preserve">по </w:t>
      </w:r>
      <w:r w:rsidR="00242003" w:rsidRPr="00242003">
        <w:t xml:space="preserve">програмите за трансгранично сътрудничество (ТГС) България - Сърбия, България - Турция и България - Македония, съфинансирани по Инструмента за предприсъединителна помощ (ИПП) </w:t>
      </w:r>
      <w:r w:rsidR="00570CDA">
        <w:rPr>
          <w:lang w:val="en"/>
        </w:rPr>
        <w:t>за периодите 2007 - 2013 г., 2014 - 2020 г. и 2021 - 2027 г.</w:t>
      </w:r>
      <w:r w:rsidR="00216647" w:rsidRPr="007E05BE">
        <w:t xml:space="preserve"> </w:t>
      </w:r>
      <w:r w:rsidRPr="007E05BE">
        <w:t xml:space="preserve">и </w:t>
      </w:r>
      <w:r w:rsidR="00463970">
        <w:t xml:space="preserve">на </w:t>
      </w:r>
      <w:r w:rsidR="00463970">
        <w:rPr>
          <w:lang w:val="en"/>
        </w:rPr>
        <w:t>Националния орган по програмите за териториално сътрудничество с участието на Република България за периодите 2007 - 2013 г. и 2014 - 2020 г. (Програма за трансгранично сътрудничество Република Гърция - Република България 2007 - 2013, Програма за трансгранично сътрудничество Република Румъния - Република България 2007 - 2013, Черноморски басейн 2007 - 2013, Югоизточна Европа 2007 - 2013, ИНТЕРРЕГ IVC, ИНТЕРАКТ II, ЕСПОН 2013, УРБАКТ ІІ, ИНТЕРРЕГ V-A Република Гърция - Република България 2014 - 2020, ИНТЕРРЕГ V-A Република Румъния - Република България 2014 - 2020, Черноморски басейн 2014 - 2020, Дунав 2014 - 2020, Балкани - Средиземно море 2014 - 2020, ИНТЕРРЕГ ЕВРОПА 2014 - 2020, УРБАКТ ІІІ, ИНТЕРАКТ III и ЕСПОН 2020) и по програмите за териториално сътрудничество с участието на Република България за периода 2021 - 2027 г. и съгласувано със съответните отговорни институции определя българската част в състава на Съвместните комитети за наблюдение на програмите за териториално сътрудничество за периода 2014 - 2020 г. и 2021 - 2027 г.</w:t>
      </w:r>
      <w:r w:rsidR="009D3F33">
        <w:t xml:space="preserve"> Дирекцията</w:t>
      </w:r>
      <w:r>
        <w:t xml:space="preserve"> </w:t>
      </w:r>
      <w:r w:rsidR="003A5CC3" w:rsidRPr="00491C6E">
        <w:t>се ангажира да поддържа високи правни, етични и морални стандарти, да се придържа към принципите на почтеност, обективност и честност</w:t>
      </w:r>
      <w:r w:rsidR="00B553E4">
        <w:t>, като цели</w:t>
      </w:r>
      <w:r w:rsidR="003A5CC3" w:rsidRPr="00491C6E">
        <w:t xml:space="preserve"> </w:t>
      </w:r>
      <w:r w:rsidR="00B553E4">
        <w:t xml:space="preserve">противодействие </w:t>
      </w:r>
      <w:r w:rsidR="003A5CC3" w:rsidRPr="00242003">
        <w:rPr>
          <w:rStyle w:val="22"/>
          <w:b w:val="0"/>
        </w:rPr>
        <w:t>на измамите и корупцията</w:t>
      </w:r>
      <w:r w:rsidR="003A5CC3" w:rsidRPr="00491C6E">
        <w:rPr>
          <w:rStyle w:val="22"/>
        </w:rPr>
        <w:t xml:space="preserve"> </w:t>
      </w:r>
      <w:r w:rsidR="003A5CC3" w:rsidRPr="00491C6E">
        <w:t>в начина, по който извършва своята дейност. От всички членове на персонала се очаква да споделят този ангажимент. Целта на тази политика е насърчаване на култура, която оказва възпиращ ефект върху измамната дейност и улеснява предотвратяването и откриването на измами и изготвянето на процедури, които ще спомогнат при</w:t>
      </w:r>
      <w:r w:rsidR="00E223C3">
        <w:t xml:space="preserve"> установяването на съмнения за измами и предприемането на последващи действия от компетентните органи</w:t>
      </w:r>
      <w:r w:rsidR="003A5CC3" w:rsidRPr="00491C6E">
        <w:t xml:space="preserve"> и ще гарантират, че тези случаи се разглеждат своевременно и по подходящ начин.</w:t>
      </w:r>
      <w:r w:rsidR="00216647" w:rsidRPr="00491C6E">
        <w:t xml:space="preserve"> В тази връзка се приема настоящият активен, структуриран и целенасочен подход за управлението на риска </w:t>
      </w:r>
      <w:r w:rsidR="009D2878" w:rsidRPr="00491C6E">
        <w:t>от измами и конфликт на интереси.</w:t>
      </w:r>
    </w:p>
    <w:p w14:paraId="0A384919" w14:textId="7E8E737B" w:rsidR="009D2878" w:rsidRPr="009D2878" w:rsidRDefault="009D2878" w:rsidP="009D3F33">
      <w:pPr>
        <w:spacing w:after="120" w:line="360" w:lineRule="auto"/>
        <w:ind w:firstLine="708"/>
        <w:jc w:val="both"/>
        <w:rPr>
          <w:rFonts w:ascii="Times New Roman" w:eastAsia="Times New Roman" w:hAnsi="Times New Roman" w:cs="Times New Roman"/>
        </w:rPr>
      </w:pPr>
      <w:r w:rsidRPr="00491C6E">
        <w:rPr>
          <w:rFonts w:ascii="Times New Roman" w:eastAsia="Times New Roman" w:hAnsi="Times New Roman" w:cs="Times New Roman"/>
        </w:rPr>
        <w:t xml:space="preserve">Съгласно чл. 63 от Регламент (ЕС, Евратом) № </w:t>
      </w:r>
      <w:r w:rsidR="00240B80" w:rsidRPr="00491C6E">
        <w:rPr>
          <w:rFonts w:ascii="Times New Roman" w:eastAsia="Times New Roman" w:hAnsi="Times New Roman" w:cs="Times New Roman"/>
        </w:rPr>
        <w:t>20</w:t>
      </w:r>
      <w:r w:rsidR="00240B80">
        <w:rPr>
          <w:rFonts w:ascii="Times New Roman" w:eastAsia="Times New Roman" w:hAnsi="Times New Roman" w:cs="Times New Roman"/>
        </w:rPr>
        <w:t>24</w:t>
      </w:r>
      <w:r w:rsidRPr="00491C6E">
        <w:rPr>
          <w:rFonts w:ascii="Times New Roman" w:eastAsia="Times New Roman" w:hAnsi="Times New Roman" w:cs="Times New Roman"/>
        </w:rPr>
        <w:t>/</w:t>
      </w:r>
      <w:r w:rsidR="00240B80">
        <w:rPr>
          <w:rFonts w:ascii="Times New Roman" w:eastAsia="Times New Roman" w:hAnsi="Times New Roman" w:cs="Times New Roman"/>
        </w:rPr>
        <w:t>2509</w:t>
      </w:r>
      <w:r w:rsidR="00240B80" w:rsidRPr="00491C6E">
        <w:rPr>
          <w:rFonts w:ascii="Times New Roman" w:eastAsia="Times New Roman" w:hAnsi="Times New Roman" w:cs="Times New Roman"/>
        </w:rPr>
        <w:t xml:space="preserve"> </w:t>
      </w:r>
      <w:r w:rsidRPr="00491C6E">
        <w:rPr>
          <w:rFonts w:ascii="Times New Roman" w:eastAsia="Times New Roman" w:hAnsi="Times New Roman" w:cs="Times New Roman"/>
        </w:rPr>
        <w:t xml:space="preserve">на Европейския </w:t>
      </w:r>
      <w:r w:rsidRPr="00491C6E">
        <w:rPr>
          <w:rFonts w:ascii="Times New Roman" w:eastAsia="Times New Roman" w:hAnsi="Times New Roman" w:cs="Times New Roman"/>
        </w:rPr>
        <w:lastRenderedPageBreak/>
        <w:t xml:space="preserve">парламент и на съвета от 18 юли 2018 година, държавите членки трябва да предприемат всички необходими мерки, включително </w:t>
      </w:r>
      <w:r w:rsidR="00240B80">
        <w:rPr>
          <w:rFonts w:ascii="Times New Roman" w:eastAsia="Times New Roman" w:hAnsi="Times New Roman" w:cs="Times New Roman"/>
        </w:rPr>
        <w:t>законови</w:t>
      </w:r>
      <w:r w:rsidRPr="00491C6E">
        <w:rPr>
          <w:rFonts w:ascii="Times New Roman" w:eastAsia="Times New Roman" w:hAnsi="Times New Roman" w:cs="Times New Roman"/>
        </w:rPr>
        <w:t xml:space="preserve">, </w:t>
      </w:r>
      <w:r w:rsidR="00240B80">
        <w:rPr>
          <w:rFonts w:ascii="Times New Roman" w:eastAsia="Times New Roman" w:hAnsi="Times New Roman" w:cs="Times New Roman"/>
        </w:rPr>
        <w:t>подзаконови</w:t>
      </w:r>
      <w:r w:rsidRPr="00491C6E">
        <w:rPr>
          <w:rFonts w:ascii="Times New Roman" w:eastAsia="Times New Roman" w:hAnsi="Times New Roman" w:cs="Times New Roman"/>
        </w:rPr>
        <w:t xml:space="preserve"> и административни, за да защитят финансовите интереси на ЕС, по-специално като предотвратяват, откриват и </w:t>
      </w:r>
      <w:r w:rsidR="00240B80">
        <w:rPr>
          <w:rFonts w:ascii="Times New Roman" w:eastAsia="Times New Roman" w:hAnsi="Times New Roman" w:cs="Times New Roman"/>
        </w:rPr>
        <w:t>коригират</w:t>
      </w:r>
      <w:r w:rsidR="00240B80" w:rsidRPr="00491C6E">
        <w:rPr>
          <w:rFonts w:ascii="Times New Roman" w:eastAsia="Times New Roman" w:hAnsi="Times New Roman" w:cs="Times New Roman"/>
        </w:rPr>
        <w:t xml:space="preserve"> </w:t>
      </w:r>
      <w:r w:rsidRPr="00491C6E">
        <w:rPr>
          <w:rFonts w:ascii="Times New Roman" w:eastAsia="Times New Roman" w:hAnsi="Times New Roman" w:cs="Times New Roman"/>
        </w:rPr>
        <w:t>нередности и измами.</w:t>
      </w:r>
    </w:p>
    <w:p w14:paraId="2C58EA4C" w14:textId="4ED0DA69" w:rsidR="009D2878" w:rsidRPr="00491C6E" w:rsidRDefault="002417D1" w:rsidP="009D3F33">
      <w:pPr>
        <w:spacing w:after="120" w:line="360" w:lineRule="auto"/>
        <w:ind w:firstLine="708"/>
        <w:jc w:val="both"/>
        <w:rPr>
          <w:rFonts w:ascii="Times New Roman" w:eastAsia="Times New Roman" w:hAnsi="Times New Roman" w:cs="Times New Roman"/>
        </w:rPr>
      </w:pPr>
      <w:r w:rsidRPr="002417D1">
        <w:rPr>
          <w:rFonts w:ascii="Times New Roman" w:eastAsia="Times New Roman" w:hAnsi="Times New Roman" w:cs="Times New Roman"/>
        </w:rPr>
        <w:t>Регламент (ЕС) 2021/1060 на Европейския парламент и на Съвета от 24 юни 2021 година за установяване на общоприложимите разпоредби за Европейския фонд за регионално развитие, Европейския социален фонд плюс, Кохезионния фонд, Фонда за справедлив преход и Европейския фонд за морско дело, рибарство и аквакултури, както и на финансовите правила за тях и за фонд „Убежище, миграция и интеграция“, фонд „Вътрешна сигурност“ и Инструмента за финансова подкрепа за управлението на границите и визовата политика</w:t>
      </w:r>
      <w:r w:rsidR="009D2878" w:rsidRPr="00491C6E">
        <w:rPr>
          <w:rFonts w:ascii="Times New Roman" w:eastAsia="Times New Roman" w:hAnsi="Times New Roman" w:cs="Times New Roman"/>
          <w:lang w:val="en-US" w:eastAsia="en-US" w:bidi="en-US"/>
        </w:rPr>
        <w:t xml:space="preserve">, </w:t>
      </w:r>
      <w:r w:rsidR="009D2878" w:rsidRPr="00491C6E">
        <w:rPr>
          <w:rFonts w:ascii="Times New Roman" w:eastAsia="Times New Roman" w:hAnsi="Times New Roman" w:cs="Times New Roman"/>
        </w:rPr>
        <w:t>съдържа специфични изисквания по отношение на отговорността на държавите членки за предотвратяване на измами.</w:t>
      </w:r>
    </w:p>
    <w:p w14:paraId="6A213182" w14:textId="242D2A42" w:rsidR="009D2878" w:rsidRPr="009D2878" w:rsidRDefault="00207D32" w:rsidP="009D3F33">
      <w:pPr>
        <w:spacing w:after="120" w:line="360" w:lineRule="auto"/>
        <w:ind w:firstLine="708"/>
        <w:jc w:val="both"/>
        <w:rPr>
          <w:rFonts w:ascii="Times New Roman" w:eastAsia="Times New Roman" w:hAnsi="Times New Roman" w:cs="Times New Roman"/>
        </w:rPr>
      </w:pPr>
      <w:r>
        <w:rPr>
          <w:rFonts w:ascii="Times New Roman" w:eastAsia="Times New Roman" w:hAnsi="Times New Roman" w:cs="Times New Roman"/>
        </w:rPr>
        <w:t>В</w:t>
      </w:r>
      <w:r w:rsidR="009D2878" w:rsidRPr="00491C6E">
        <w:rPr>
          <w:rFonts w:ascii="Times New Roman" w:eastAsia="Times New Roman" w:hAnsi="Times New Roman" w:cs="Times New Roman"/>
        </w:rPr>
        <w:t xml:space="preserve"> чл. </w:t>
      </w:r>
      <w:r>
        <w:rPr>
          <w:rFonts w:ascii="Times New Roman" w:eastAsia="Times New Roman" w:hAnsi="Times New Roman" w:cs="Times New Roman"/>
        </w:rPr>
        <w:t>69</w:t>
      </w:r>
      <w:r w:rsidR="009D2878" w:rsidRPr="00491C6E">
        <w:rPr>
          <w:rFonts w:ascii="Times New Roman" w:eastAsia="Times New Roman" w:hAnsi="Times New Roman" w:cs="Times New Roman"/>
        </w:rPr>
        <w:t xml:space="preserve">, </w:t>
      </w:r>
      <w:r w:rsidR="00594619">
        <w:rPr>
          <w:rFonts w:ascii="Times New Roman" w:eastAsia="Times New Roman" w:hAnsi="Times New Roman" w:cs="Times New Roman"/>
        </w:rPr>
        <w:t>параграф</w:t>
      </w:r>
      <w:r>
        <w:rPr>
          <w:rFonts w:ascii="Times New Roman" w:eastAsia="Times New Roman" w:hAnsi="Times New Roman" w:cs="Times New Roman"/>
        </w:rPr>
        <w:t xml:space="preserve"> 2</w:t>
      </w:r>
      <w:r w:rsidR="009D2878" w:rsidRPr="00491C6E">
        <w:rPr>
          <w:rFonts w:ascii="Times New Roman" w:eastAsia="Times New Roman" w:hAnsi="Times New Roman" w:cs="Times New Roman"/>
        </w:rPr>
        <w:t xml:space="preserve"> от </w:t>
      </w:r>
      <w:r w:rsidR="00F10BC3" w:rsidRPr="00F10BC3">
        <w:rPr>
          <w:rFonts w:ascii="Times New Roman" w:eastAsia="Times New Roman" w:hAnsi="Times New Roman" w:cs="Times New Roman"/>
          <w:lang w:val="en-US" w:eastAsia="en-US" w:bidi="en-US"/>
        </w:rPr>
        <w:t>Регламент (ЕС) 2021/1060</w:t>
      </w:r>
      <w:r>
        <w:rPr>
          <w:rFonts w:ascii="Times New Roman" w:eastAsia="Times New Roman" w:hAnsi="Times New Roman" w:cs="Times New Roman"/>
          <w:lang w:eastAsia="en-US" w:bidi="en-US"/>
        </w:rPr>
        <w:t xml:space="preserve"> е посочено, че</w:t>
      </w:r>
      <w:r w:rsidRPr="00207D32">
        <w:t xml:space="preserve"> </w:t>
      </w:r>
      <w:r>
        <w:rPr>
          <w:rFonts w:ascii="Times New Roman" w:eastAsia="Times New Roman" w:hAnsi="Times New Roman" w:cs="Times New Roman"/>
          <w:lang w:eastAsia="en-US" w:bidi="en-US"/>
        </w:rPr>
        <w:t>д</w:t>
      </w:r>
      <w:r w:rsidRPr="00207D32">
        <w:rPr>
          <w:rFonts w:ascii="Times New Roman" w:eastAsia="Times New Roman" w:hAnsi="Times New Roman" w:cs="Times New Roman"/>
          <w:lang w:eastAsia="en-US" w:bidi="en-US"/>
        </w:rPr>
        <w:t>ържавите членки гарантират законосъобразността и правилността на разходите, включени в отчетите, които се представят на Комисията, и предприемат всички необходими действия, за да предотвратяват, откриват, коригират и докладват нередности, включително измами.</w:t>
      </w:r>
      <w:r>
        <w:rPr>
          <w:rFonts w:ascii="Times New Roman" w:eastAsia="Times New Roman" w:hAnsi="Times New Roman" w:cs="Times New Roman"/>
          <w:lang w:eastAsia="en-US" w:bidi="en-US"/>
        </w:rPr>
        <w:t xml:space="preserve"> </w:t>
      </w:r>
      <w:r w:rsidR="009D2878" w:rsidRPr="00491C6E">
        <w:rPr>
          <w:rFonts w:ascii="Times New Roman" w:eastAsia="Times New Roman" w:hAnsi="Times New Roman" w:cs="Times New Roman"/>
          <w:lang w:val="en-US" w:eastAsia="en-US" w:bidi="en-US"/>
        </w:rPr>
        <w:t xml:space="preserve">, </w:t>
      </w:r>
      <w:r w:rsidR="00594619">
        <w:rPr>
          <w:rFonts w:ascii="Times New Roman" w:eastAsia="Times New Roman" w:hAnsi="Times New Roman" w:cs="Times New Roman"/>
        </w:rPr>
        <w:t>Отделно от това</w:t>
      </w:r>
      <w:r w:rsidR="009D2878" w:rsidRPr="00491C6E">
        <w:rPr>
          <w:rFonts w:ascii="Times New Roman" w:eastAsia="Times New Roman" w:hAnsi="Times New Roman" w:cs="Times New Roman"/>
        </w:rPr>
        <w:t xml:space="preserve">в чл. </w:t>
      </w:r>
      <w:r w:rsidR="00594619">
        <w:rPr>
          <w:rFonts w:ascii="Times New Roman" w:eastAsia="Times New Roman" w:hAnsi="Times New Roman" w:cs="Times New Roman"/>
        </w:rPr>
        <w:t>74</w:t>
      </w:r>
      <w:r w:rsidR="009D2878" w:rsidRPr="00491C6E">
        <w:rPr>
          <w:rFonts w:ascii="Times New Roman" w:eastAsia="Times New Roman" w:hAnsi="Times New Roman" w:cs="Times New Roman"/>
        </w:rPr>
        <w:t xml:space="preserve">, параграф </w:t>
      </w:r>
      <w:r w:rsidR="00594619">
        <w:rPr>
          <w:rFonts w:ascii="Times New Roman" w:eastAsia="Times New Roman" w:hAnsi="Times New Roman" w:cs="Times New Roman"/>
        </w:rPr>
        <w:t>1</w:t>
      </w:r>
      <w:r w:rsidR="009D2878" w:rsidRPr="00491C6E">
        <w:rPr>
          <w:rFonts w:ascii="Times New Roman" w:eastAsia="Times New Roman" w:hAnsi="Times New Roman" w:cs="Times New Roman"/>
        </w:rPr>
        <w:t xml:space="preserve">, буква в) от </w:t>
      </w:r>
      <w:r w:rsidR="00594619">
        <w:rPr>
          <w:rFonts w:ascii="Times New Roman" w:eastAsia="Times New Roman" w:hAnsi="Times New Roman" w:cs="Times New Roman"/>
          <w:lang w:eastAsia="en-US" w:bidi="en-US"/>
        </w:rPr>
        <w:t>същия регламент</w:t>
      </w:r>
      <w:r w:rsidR="00594619" w:rsidRPr="00491C6E">
        <w:rPr>
          <w:rFonts w:ascii="Times New Roman" w:eastAsia="Times New Roman" w:hAnsi="Times New Roman" w:cs="Times New Roman"/>
          <w:lang w:val="en-US" w:eastAsia="en-US" w:bidi="en-US"/>
        </w:rPr>
        <w:t xml:space="preserve"> </w:t>
      </w:r>
      <w:r w:rsidR="009D2878" w:rsidRPr="00491C6E">
        <w:rPr>
          <w:rFonts w:ascii="Times New Roman" w:eastAsia="Times New Roman" w:hAnsi="Times New Roman" w:cs="Times New Roman"/>
        </w:rPr>
        <w:t xml:space="preserve">е уредено, че УО </w:t>
      </w:r>
      <w:r w:rsidR="00594619">
        <w:rPr>
          <w:rFonts w:ascii="Times New Roman" w:eastAsia="Times New Roman" w:hAnsi="Times New Roman" w:cs="Times New Roman"/>
        </w:rPr>
        <w:t>въвежда</w:t>
      </w:r>
      <w:r w:rsidR="009D2878" w:rsidRPr="00491C6E">
        <w:rPr>
          <w:rFonts w:ascii="Times New Roman" w:eastAsia="Times New Roman" w:hAnsi="Times New Roman" w:cs="Times New Roman"/>
        </w:rPr>
        <w:t xml:space="preserve"> ефективни и пропорционални мерки </w:t>
      </w:r>
      <w:r w:rsidR="00594619">
        <w:rPr>
          <w:rFonts w:ascii="Times New Roman" w:eastAsia="Times New Roman" w:hAnsi="Times New Roman" w:cs="Times New Roman"/>
        </w:rPr>
        <w:t xml:space="preserve">и процедури </w:t>
      </w:r>
      <w:r w:rsidR="009D2878" w:rsidRPr="00491C6E">
        <w:rPr>
          <w:rFonts w:ascii="Times New Roman" w:eastAsia="Times New Roman" w:hAnsi="Times New Roman" w:cs="Times New Roman"/>
        </w:rPr>
        <w:t xml:space="preserve">за борба с измамите </w:t>
      </w:r>
      <w:r w:rsidR="00594619">
        <w:rPr>
          <w:rFonts w:ascii="Times New Roman" w:eastAsia="Times New Roman" w:hAnsi="Times New Roman" w:cs="Times New Roman"/>
        </w:rPr>
        <w:t>като взема предвид</w:t>
      </w:r>
      <w:r w:rsidR="009D2878" w:rsidRPr="00491C6E">
        <w:rPr>
          <w:rFonts w:ascii="Times New Roman" w:eastAsia="Times New Roman" w:hAnsi="Times New Roman" w:cs="Times New Roman"/>
        </w:rPr>
        <w:t xml:space="preserve"> установените рискове.</w:t>
      </w:r>
    </w:p>
    <w:p w14:paraId="16754882" w14:textId="427F12CB" w:rsidR="009D2878" w:rsidRPr="009D2878" w:rsidRDefault="007E05BE" w:rsidP="009D3F33">
      <w:pPr>
        <w:spacing w:after="120" w:line="360" w:lineRule="auto"/>
        <w:ind w:firstLine="708"/>
        <w:jc w:val="both"/>
        <w:rPr>
          <w:rFonts w:ascii="Times New Roman" w:eastAsia="Times New Roman" w:hAnsi="Times New Roman" w:cs="Times New Roman"/>
        </w:rPr>
      </w:pPr>
      <w:r>
        <w:rPr>
          <w:rFonts w:ascii="Times New Roman" w:eastAsia="Times New Roman" w:hAnsi="Times New Roman" w:cs="Times New Roman"/>
        </w:rPr>
        <w:t>В дирекция УТС</w:t>
      </w:r>
      <w:r w:rsidR="009D2878" w:rsidRPr="00491C6E">
        <w:rPr>
          <w:rFonts w:ascii="Times New Roman" w:eastAsia="Times New Roman" w:hAnsi="Times New Roman" w:cs="Times New Roman"/>
        </w:rPr>
        <w:t xml:space="preserve"> е установ</w:t>
      </w:r>
      <w:r>
        <w:rPr>
          <w:rFonts w:ascii="Times New Roman" w:eastAsia="Times New Roman" w:hAnsi="Times New Roman" w:cs="Times New Roman"/>
        </w:rPr>
        <w:t>ена</w:t>
      </w:r>
      <w:r w:rsidR="009D2878" w:rsidRPr="00491C6E">
        <w:rPr>
          <w:rFonts w:ascii="Times New Roman" w:eastAsia="Times New Roman" w:hAnsi="Times New Roman" w:cs="Times New Roman"/>
        </w:rPr>
        <w:t xml:space="preserve"> политика на нулева търпимост по отношение на измамите, като всеки опит за измама по отношение бюджета на ЕС се счита за недопустим. Потенциалът за измами се разглежда като </w:t>
      </w:r>
      <w:r w:rsidR="00EF3FDA">
        <w:rPr>
          <w:rFonts w:ascii="Times New Roman" w:eastAsia="Times New Roman" w:hAnsi="Times New Roman" w:cs="Times New Roman"/>
        </w:rPr>
        <w:t>съвкупност</w:t>
      </w:r>
      <w:r w:rsidR="009D2878" w:rsidRPr="00491C6E">
        <w:rPr>
          <w:rFonts w:ascii="Times New Roman" w:eastAsia="Times New Roman" w:hAnsi="Times New Roman" w:cs="Times New Roman"/>
        </w:rPr>
        <w:t xml:space="preserve"> от рискове, които да бъдат правилно </w:t>
      </w:r>
      <w:r w:rsidR="00EF3FDA">
        <w:rPr>
          <w:rFonts w:ascii="Times New Roman" w:eastAsia="Times New Roman" w:hAnsi="Times New Roman" w:cs="Times New Roman"/>
        </w:rPr>
        <w:t xml:space="preserve">идентифицирани, анализирани и </w:t>
      </w:r>
      <w:r w:rsidR="009D2878" w:rsidRPr="00491C6E">
        <w:rPr>
          <w:rFonts w:ascii="Times New Roman" w:eastAsia="Times New Roman" w:hAnsi="Times New Roman" w:cs="Times New Roman"/>
        </w:rPr>
        <w:t>управлявани заедно с</w:t>
      </w:r>
      <w:r w:rsidR="00EF3FDA">
        <w:rPr>
          <w:rFonts w:ascii="Times New Roman" w:eastAsia="Times New Roman" w:hAnsi="Times New Roman" w:cs="Times New Roman"/>
        </w:rPr>
        <w:t xml:space="preserve"> други</w:t>
      </w:r>
      <w:r w:rsidR="009D2878" w:rsidRPr="00491C6E">
        <w:rPr>
          <w:rFonts w:ascii="Times New Roman" w:eastAsia="Times New Roman" w:hAnsi="Times New Roman" w:cs="Times New Roman"/>
        </w:rPr>
        <w:t xml:space="preserve"> събития с възможни отрицателни последици</w:t>
      </w:r>
      <w:r w:rsidR="00EF3FDA">
        <w:rPr>
          <w:rFonts w:ascii="Times New Roman" w:eastAsia="Times New Roman" w:hAnsi="Times New Roman" w:cs="Times New Roman"/>
        </w:rPr>
        <w:t>, в рамките на системите за управление и контрол</w:t>
      </w:r>
      <w:r w:rsidR="009D2878" w:rsidRPr="00491C6E">
        <w:rPr>
          <w:rFonts w:ascii="Times New Roman" w:eastAsia="Times New Roman" w:hAnsi="Times New Roman" w:cs="Times New Roman"/>
        </w:rPr>
        <w:t>. Оценката на рисковете от измами следователно може да се извърши, като се използват съществуващите принципи и инструменти за управление на рисковете.</w:t>
      </w:r>
    </w:p>
    <w:p w14:paraId="2C6B5581" w14:textId="09A364F5" w:rsidR="009D2878" w:rsidRPr="009D2878" w:rsidRDefault="00DE321C" w:rsidP="006E2247">
      <w:pPr>
        <w:spacing w:line="360" w:lineRule="auto"/>
        <w:jc w:val="both"/>
        <w:rPr>
          <w:rFonts w:ascii="Times New Roman" w:eastAsia="Times New Roman" w:hAnsi="Times New Roman" w:cs="Times New Roman"/>
        </w:rPr>
      </w:pPr>
      <w:r>
        <w:rPr>
          <w:rFonts w:ascii="Times New Roman" w:eastAsia="Times New Roman" w:hAnsi="Times New Roman" w:cs="Times New Roman"/>
        </w:rPr>
        <w:tab/>
      </w:r>
      <w:r w:rsidR="009D2878" w:rsidRPr="00491C6E">
        <w:rPr>
          <w:rFonts w:ascii="Times New Roman" w:eastAsia="Times New Roman" w:hAnsi="Times New Roman" w:cs="Times New Roman"/>
        </w:rPr>
        <w:t>Ефективно прилаганите стабилни системи за контрол ще намалят риска от възникване на измами и конфликт на интереси, или от тяхното неразкриване.</w:t>
      </w:r>
      <w:r w:rsidR="00E223C3">
        <w:rPr>
          <w:rFonts w:ascii="Times New Roman" w:eastAsia="Times New Roman" w:hAnsi="Times New Roman" w:cs="Times New Roman"/>
        </w:rPr>
        <w:t xml:space="preserve"> </w:t>
      </w:r>
      <w:r w:rsidR="00E223C3" w:rsidRPr="00E223C3">
        <w:rPr>
          <w:rFonts w:ascii="Times New Roman" w:eastAsia="Times New Roman" w:hAnsi="Times New Roman" w:cs="Times New Roman"/>
        </w:rPr>
        <w:t>Контролните механизми се прилагат в рамките на управленските проверки и други форми на контрол, предвидени в системите за управление и контрол на програмите.</w:t>
      </w:r>
      <w:r w:rsidR="009D2878" w:rsidRPr="00491C6E">
        <w:rPr>
          <w:rFonts w:ascii="Times New Roman" w:eastAsia="Times New Roman" w:hAnsi="Times New Roman" w:cs="Times New Roman"/>
        </w:rPr>
        <w:t xml:space="preserve"> Общата цел следва да бъде преодоляване по целенасочен начин на основните рискове от измами и конфликт на интереси, като се има предвид, че с изключение на основните </w:t>
      </w:r>
      <w:r w:rsidR="009D2878" w:rsidRPr="00491C6E">
        <w:rPr>
          <w:rFonts w:ascii="Times New Roman" w:eastAsia="Times New Roman" w:hAnsi="Times New Roman" w:cs="Times New Roman"/>
        </w:rPr>
        <w:lastRenderedPageBreak/>
        <w:t>изисквания — общите ползи от всички допълнителни мерки за борба с измамите следва да надвишават техните общи разходи (принцип за пропорционалността), като се отчитат също високите разходи, свързани с репутацията</w:t>
      </w:r>
      <w:r w:rsidR="00F126FF">
        <w:rPr>
          <w:rFonts w:ascii="Times New Roman" w:eastAsia="Times New Roman" w:hAnsi="Times New Roman" w:cs="Times New Roman"/>
        </w:rPr>
        <w:t xml:space="preserve"> или въздействието върху доверието в институциите и правилното управление на средствата от ЕС</w:t>
      </w:r>
      <w:r w:rsidR="009D2878" w:rsidRPr="00491C6E">
        <w:rPr>
          <w:rFonts w:ascii="Times New Roman" w:eastAsia="Times New Roman" w:hAnsi="Times New Roman" w:cs="Times New Roman"/>
        </w:rPr>
        <w:t xml:space="preserve"> в случай на измама и корупция.</w:t>
      </w:r>
    </w:p>
    <w:p w14:paraId="2CBC0B22" w14:textId="5C64D3D5" w:rsidR="00A86DC2" w:rsidRPr="00A86DC2" w:rsidRDefault="00DE321C" w:rsidP="00C530B0">
      <w:pPr>
        <w:spacing w:after="116" w:line="360" w:lineRule="auto"/>
        <w:jc w:val="both"/>
        <w:rPr>
          <w:rFonts w:ascii="Times New Roman" w:eastAsia="Times New Roman" w:hAnsi="Times New Roman" w:cs="Times New Roman"/>
        </w:rPr>
      </w:pPr>
      <w:r>
        <w:rPr>
          <w:rFonts w:ascii="Times New Roman" w:eastAsia="Times New Roman" w:hAnsi="Times New Roman" w:cs="Times New Roman"/>
        </w:rPr>
        <w:tab/>
      </w:r>
      <w:r w:rsidR="00C530B0">
        <w:rPr>
          <w:rFonts w:ascii="Times New Roman" w:eastAsia="Times New Roman" w:hAnsi="Times New Roman" w:cs="Times New Roman"/>
        </w:rPr>
        <w:t xml:space="preserve">В </w:t>
      </w:r>
      <w:r w:rsidR="00C530B0" w:rsidRPr="00C530B0">
        <w:rPr>
          <w:rFonts w:ascii="Times New Roman" w:eastAsia="Times New Roman" w:hAnsi="Times New Roman" w:cs="Times New Roman"/>
        </w:rPr>
        <w:t>Регламент (ЕС, Евратом) 2024/2509 на Европейския парламент и на Съвета</w:t>
      </w:r>
      <w:r w:rsidR="00C530B0">
        <w:rPr>
          <w:rFonts w:ascii="Times New Roman" w:eastAsia="Times New Roman" w:hAnsi="Times New Roman" w:cs="Times New Roman"/>
        </w:rPr>
        <w:t xml:space="preserve"> </w:t>
      </w:r>
      <w:r w:rsidR="00C530B0" w:rsidRPr="00C530B0">
        <w:rPr>
          <w:rFonts w:ascii="Times New Roman" w:eastAsia="Times New Roman" w:hAnsi="Times New Roman" w:cs="Times New Roman"/>
        </w:rPr>
        <w:t>от 23 септември 2024 година</w:t>
      </w:r>
      <w:r w:rsidR="00C530B0">
        <w:rPr>
          <w:rFonts w:ascii="Times New Roman" w:eastAsia="Times New Roman" w:hAnsi="Times New Roman" w:cs="Times New Roman"/>
        </w:rPr>
        <w:t xml:space="preserve"> </w:t>
      </w:r>
      <w:r w:rsidR="00C530B0" w:rsidRPr="00C530B0">
        <w:rPr>
          <w:rFonts w:ascii="Times New Roman" w:eastAsia="Times New Roman" w:hAnsi="Times New Roman" w:cs="Times New Roman"/>
        </w:rPr>
        <w:t>за финансовите правила, приложими за общия бюджет на Съюза</w:t>
      </w:r>
      <w:r w:rsidR="00A86DC2" w:rsidRPr="00491C6E">
        <w:rPr>
          <w:rFonts w:ascii="Times New Roman" w:eastAsia="Times New Roman" w:hAnsi="Times New Roman" w:cs="Times New Roman"/>
        </w:rPr>
        <w:t xml:space="preserve">, </w:t>
      </w:r>
      <w:r w:rsidR="00C530B0">
        <w:rPr>
          <w:rFonts w:ascii="Times New Roman" w:eastAsia="Times New Roman" w:hAnsi="Times New Roman" w:cs="Times New Roman"/>
        </w:rPr>
        <w:t>се съдържат</w:t>
      </w:r>
      <w:r w:rsidR="00A86DC2" w:rsidRPr="00491C6E">
        <w:rPr>
          <w:rFonts w:ascii="Times New Roman" w:eastAsia="Times New Roman" w:hAnsi="Times New Roman" w:cs="Times New Roman"/>
        </w:rPr>
        <w:t xml:space="preserve"> мерки за защита на финансовите интереси на ЕС. Ключов пример </w:t>
      </w:r>
      <w:r w:rsidR="00C530B0">
        <w:rPr>
          <w:rFonts w:ascii="Times New Roman" w:eastAsia="Times New Roman" w:hAnsi="Times New Roman" w:cs="Times New Roman"/>
        </w:rPr>
        <w:t>са</w:t>
      </w:r>
      <w:r w:rsidR="00A86DC2" w:rsidRPr="00491C6E">
        <w:rPr>
          <w:rFonts w:ascii="Times New Roman" w:eastAsia="Times New Roman" w:hAnsi="Times New Roman" w:cs="Times New Roman"/>
        </w:rPr>
        <w:t xml:space="preserve"> правилата относно конфликтите на интереси, които, в допълнение към прякото и непрякото управление, изрично обхващат органите на държавите членки (независимо от вътрешните правила за управление на всяка от тях) и всяко лице, което разпределя средства от който и да е от фондовете на ЕС при условията на споделено управление. Ситуации, свързани с конфликт на интереси, могат да настъпят по всяко време. От първостепенно значение е те или да бъдат предотвратени, или да бъдат управлявани по подходящ начин, когато възникнат. Това изискване е от решаващо значение за поддържане на прозрачността, репутацията и безпристрастността на публичния сектор и на доверието в принципите на правовата държава като основна ценност на ЕС. Това е от съществено значение за запазване на общественото доверие в почтеността и безпристрастността на публичните органи и длъжностни лица, както и в процесите на вземане на решения, които служат на общите интереси. И обратно, ако не бъдат предотвратени или управлявани правилно, когато възникнат, конфликтите на интереси могат да окажат отрицателно влияние на процеса на вземане на решения в публичните органи, да доведат до неправилно използване на публични средства и да причинят вреди за репутацията. Те могат също така да доведат до загуба на доверие в способността на публичния сектор да работи безпристрастно и в общите интереси на обществото. Конфликтите на интереси трябва да се предотвратяват и разрешават, а принципите, на които се основава бюджетът на ЕС, трябва да се спазват надлежно. Наличието на подробни политики и правила за избягване и управление на конфликти на интереси е съществена част от доброто управление.</w:t>
      </w:r>
    </w:p>
    <w:p w14:paraId="4503E5F4" w14:textId="2D088C87" w:rsidR="00A86DC2" w:rsidRPr="00A86DC2" w:rsidRDefault="00A86DC2" w:rsidP="009D3F33">
      <w:pPr>
        <w:spacing w:line="360" w:lineRule="auto"/>
        <w:ind w:firstLine="708"/>
        <w:jc w:val="both"/>
        <w:rPr>
          <w:rFonts w:ascii="Times New Roman" w:eastAsia="Times New Roman" w:hAnsi="Times New Roman" w:cs="Times New Roman"/>
        </w:rPr>
      </w:pPr>
      <w:r w:rsidRPr="00491C6E">
        <w:rPr>
          <w:rFonts w:ascii="Times New Roman" w:eastAsia="Times New Roman" w:hAnsi="Times New Roman" w:cs="Times New Roman"/>
        </w:rPr>
        <w:t xml:space="preserve">Съгласно член 61 от </w:t>
      </w:r>
      <w:r w:rsidR="00C530B0" w:rsidRPr="00C530B0">
        <w:rPr>
          <w:rFonts w:ascii="Times New Roman" w:eastAsia="Times New Roman" w:hAnsi="Times New Roman" w:cs="Times New Roman"/>
        </w:rPr>
        <w:t>Регламент (ЕС, Евратом) 2024/2509</w:t>
      </w:r>
      <w:r w:rsidRPr="00491C6E">
        <w:rPr>
          <w:rFonts w:ascii="Times New Roman" w:eastAsia="Times New Roman" w:hAnsi="Times New Roman" w:cs="Times New Roman"/>
        </w:rPr>
        <w:t xml:space="preserve"> конфликт на интереси съществува, когато </w:t>
      </w:r>
      <w:r w:rsidRPr="00491C6E">
        <w:rPr>
          <w:rFonts w:ascii="Times New Roman" w:eastAsia="Times New Roman" w:hAnsi="Times New Roman" w:cs="Times New Roman"/>
          <w:color w:val="auto"/>
        </w:rPr>
        <w:t>„</w:t>
      </w:r>
      <w:r w:rsidRPr="00491C6E">
        <w:rPr>
          <w:rFonts w:ascii="Times New Roman" w:hAnsi="Times New Roman" w:cs="Times New Roman"/>
          <w:color w:val="auto"/>
          <w:shd w:val="clear" w:color="auto" w:fill="FFFFFF"/>
        </w:rPr>
        <w:t xml:space="preserve">безпристрастното и обективно упражняване на функциите на финансов участник или друго лице, посочено в параграф 1, е опорочено по причини, свързани със семейния и емоционалния живот, политическа или национална </w:t>
      </w:r>
      <w:r w:rsidRPr="00491C6E">
        <w:rPr>
          <w:rFonts w:ascii="Times New Roman" w:hAnsi="Times New Roman" w:cs="Times New Roman"/>
          <w:color w:val="auto"/>
          <w:shd w:val="clear" w:color="auto" w:fill="FFFFFF"/>
        </w:rPr>
        <w:lastRenderedPageBreak/>
        <w:t>принадлежност, икономически интерес или всякакъв друг пряк или косвен личен интерес</w:t>
      </w:r>
      <w:r w:rsidRPr="00491C6E">
        <w:rPr>
          <w:rFonts w:ascii="Times New Roman" w:eastAsia="Times New Roman" w:hAnsi="Times New Roman" w:cs="Times New Roman"/>
          <w:color w:val="auto"/>
        </w:rPr>
        <w:t xml:space="preserve">“. Конфликт на интереси може да възникне дори </w:t>
      </w:r>
      <w:r w:rsidRPr="00491C6E">
        <w:rPr>
          <w:rFonts w:ascii="Times New Roman" w:eastAsia="Times New Roman" w:hAnsi="Times New Roman" w:cs="Times New Roman"/>
        </w:rPr>
        <w:t>ако лицето не се възползва действително от ситуацията, тъй като е достатъчно обстоятелствата да опорочават обективното и безпристрастно упражняване на функциите му. Такива обстоятелства обаче трябва да имат определена установима и индивидуална връзка с конкретни аспекти на поведението или взаимоотношенията на лицето (или да оказват въздействие върху тях).</w:t>
      </w:r>
    </w:p>
    <w:p w14:paraId="3A4B0DBF" w14:textId="3C03F00F" w:rsidR="00AB77B1" w:rsidRPr="00242003" w:rsidRDefault="003A5CC3" w:rsidP="009D3F33">
      <w:pPr>
        <w:pStyle w:val="40"/>
        <w:shd w:val="clear" w:color="auto" w:fill="auto"/>
        <w:spacing w:before="0" w:after="206" w:line="360" w:lineRule="auto"/>
        <w:ind w:firstLine="708"/>
        <w:jc w:val="both"/>
        <w:rPr>
          <w:b w:val="0"/>
        </w:rPr>
      </w:pPr>
      <w:r w:rsidRPr="00491C6E">
        <w:rPr>
          <w:rStyle w:val="41"/>
        </w:rPr>
        <w:t xml:space="preserve">Въведена е процедура за </w:t>
      </w:r>
      <w:r w:rsidRPr="00242003">
        <w:rPr>
          <w:b w:val="0"/>
        </w:rPr>
        <w:t>оповестяване на ситуации на конфликт на интереси</w:t>
      </w:r>
      <w:r w:rsidR="000216B0" w:rsidRPr="009D3F33">
        <w:rPr>
          <w:rStyle w:val="41"/>
        </w:rPr>
        <w:t>,</w:t>
      </w:r>
      <w:r w:rsidR="000216B0">
        <w:rPr>
          <w:rStyle w:val="41"/>
          <w:b/>
        </w:rPr>
        <w:t xml:space="preserve"> </w:t>
      </w:r>
      <w:r w:rsidR="000216B0" w:rsidRPr="009D3F33">
        <w:rPr>
          <w:rStyle w:val="41"/>
        </w:rPr>
        <w:t>съгласно която лицата, участващи в подготовката, изпълнението и контрола на програми и проекти, съфинансирани от ЕС, са длъжни своевременно да декларират всяко обстоятелство, което може да доведе до конфликт на интереси. При необходимост се предприемат мерки за ограничаване на риска, включително въздържане от участие в съответната дейност.</w:t>
      </w:r>
    </w:p>
    <w:p w14:paraId="6C5B3B24" w14:textId="31066CF7" w:rsidR="00AB77B1" w:rsidRPr="00491C6E" w:rsidRDefault="003A5CC3" w:rsidP="009D3F33">
      <w:pPr>
        <w:pStyle w:val="20"/>
        <w:shd w:val="clear" w:color="auto" w:fill="auto"/>
        <w:spacing w:before="0" w:after="327" w:line="360" w:lineRule="auto"/>
        <w:ind w:firstLine="708"/>
        <w:jc w:val="both"/>
      </w:pPr>
      <w:r w:rsidRPr="00491C6E">
        <w:t>Понятието „измама“ обичайно се използва за описване на широк кръг от нарушения, включително кражба, корупция, злоупотреба, подкуп, фалшифициране, представяне на неверни данни, тайни споразумения, изпиране на пари и укриване на съществени факти. Това често включва използването на измама с цел лично облагодетелстване, облагодетелстване на свързано лице или трета страна, или загуба за друго лице</w:t>
      </w:r>
      <w:r w:rsidR="009D3F33">
        <w:t xml:space="preserve"> -</w:t>
      </w:r>
      <w:r w:rsidRPr="00491C6E">
        <w:t xml:space="preserve"> умисълът е основният елемент, който отличава измамите от нередностите. Измамата не само има потенциално финансово отражение, но може да доведе и до увреждане на репутацията на организацията, отговаряща за ефективното и ефикасно управление на финансовите средства. Това е от особено значение за публична организация, отговаряща за управлението на средствата на ЕС. Корупцията е злоупотреба с власт за лична изгода. Конфликт на интереси е налице, когато безпристрастното и обективно упражняване на официалните функции на едно лице е опорочено по причини, свързани със семейството, емоционалния живот, политическа или национална принадлежност, икономически или други интереси, споделяни например с кандидат или получател на средства от ЕС.</w:t>
      </w:r>
    </w:p>
    <w:p w14:paraId="02F8BD5B" w14:textId="231F8180" w:rsidR="00A86DC2" w:rsidRPr="00A86DC2" w:rsidRDefault="00DE321C" w:rsidP="00242003">
      <w:pPr>
        <w:widowControl/>
        <w:spacing w:after="160" w:line="360" w:lineRule="auto"/>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ab/>
      </w:r>
      <w:r w:rsidR="00A86DC2" w:rsidRPr="00A86DC2">
        <w:rPr>
          <w:rFonts w:ascii="Times New Roman" w:eastAsia="Calibri" w:hAnsi="Times New Roman" w:cs="Times New Roman"/>
          <w:color w:val="auto"/>
          <w:lang w:eastAsia="en-US" w:bidi="ar-SA"/>
        </w:rPr>
        <w:t>Договорът за ЕС определя измамата по отношение на разходите като умишлено действие или бездействие, свързано с:</w:t>
      </w:r>
    </w:p>
    <w:p w14:paraId="1B85077B" w14:textId="77777777" w:rsidR="00A86DC2" w:rsidRPr="00A86DC2" w:rsidRDefault="00A86DC2" w:rsidP="00242003">
      <w:pPr>
        <w:widowControl/>
        <w:spacing w:after="160" w:line="360" w:lineRule="auto"/>
        <w:ind w:left="720"/>
        <w:jc w:val="both"/>
        <w:rPr>
          <w:rFonts w:ascii="Times New Roman" w:eastAsia="Calibri" w:hAnsi="Times New Roman" w:cs="Times New Roman"/>
          <w:color w:val="auto"/>
          <w:lang w:eastAsia="en-US" w:bidi="ar-SA"/>
        </w:rPr>
      </w:pPr>
      <w:r w:rsidRPr="00A86DC2">
        <w:rPr>
          <w:rFonts w:ascii="Times New Roman" w:eastAsia="Calibri" w:hAnsi="Times New Roman" w:cs="Times New Roman"/>
          <w:color w:val="auto"/>
          <w:lang w:eastAsia="en-US" w:bidi="ar-SA"/>
        </w:rPr>
        <w:lastRenderedPageBreak/>
        <w:t>• Използването или представянето на неверни, неточни или непълни декларации или документи, което води до присвояване или неправомерно задържане на средства от ЕС.</w:t>
      </w:r>
    </w:p>
    <w:p w14:paraId="597CAEBC" w14:textId="77777777" w:rsidR="00A86DC2" w:rsidRPr="00A86DC2" w:rsidRDefault="00A86DC2" w:rsidP="00242003">
      <w:pPr>
        <w:widowControl/>
        <w:spacing w:after="160" w:line="360" w:lineRule="auto"/>
        <w:ind w:left="720"/>
        <w:jc w:val="both"/>
        <w:rPr>
          <w:rFonts w:ascii="Times New Roman" w:eastAsia="Calibri" w:hAnsi="Times New Roman" w:cs="Times New Roman"/>
          <w:color w:val="auto"/>
          <w:lang w:eastAsia="en-US" w:bidi="ar-SA"/>
        </w:rPr>
      </w:pPr>
      <w:r w:rsidRPr="00A86DC2">
        <w:rPr>
          <w:rFonts w:ascii="Times New Roman" w:eastAsia="Calibri" w:hAnsi="Times New Roman" w:cs="Times New Roman"/>
          <w:color w:val="auto"/>
          <w:lang w:eastAsia="en-US" w:bidi="ar-SA"/>
        </w:rPr>
        <w:t>• Неразкриване на информация в нарушение на конкретно задължение, със същия ефект;</w:t>
      </w:r>
    </w:p>
    <w:p w14:paraId="1F4843DB" w14:textId="77777777" w:rsidR="00A86DC2" w:rsidRPr="00A86DC2" w:rsidRDefault="00A86DC2" w:rsidP="00242003">
      <w:pPr>
        <w:widowControl/>
        <w:spacing w:after="160" w:line="360" w:lineRule="auto"/>
        <w:ind w:left="720"/>
        <w:jc w:val="both"/>
        <w:rPr>
          <w:rFonts w:ascii="Times New Roman" w:eastAsia="Calibri" w:hAnsi="Times New Roman" w:cs="Times New Roman"/>
          <w:color w:val="auto"/>
          <w:lang w:eastAsia="en-US" w:bidi="ar-SA"/>
        </w:rPr>
      </w:pPr>
      <w:r w:rsidRPr="00A86DC2">
        <w:rPr>
          <w:rFonts w:ascii="Times New Roman" w:eastAsia="Calibri" w:hAnsi="Times New Roman" w:cs="Times New Roman"/>
          <w:color w:val="auto"/>
          <w:lang w:eastAsia="en-US" w:bidi="ar-SA"/>
        </w:rPr>
        <w:t>• Неправилно използване на такива средства за цели, различни от тези, за които са били отпуснати първоначално</w:t>
      </w:r>
    </w:p>
    <w:p w14:paraId="2EF51D36" w14:textId="474D2C29" w:rsidR="00DE321C" w:rsidRDefault="00DE321C" w:rsidP="00242003">
      <w:pPr>
        <w:widowControl/>
        <w:spacing w:after="160" w:line="360" w:lineRule="auto"/>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ab/>
      </w:r>
      <w:r w:rsidR="00A86DC2" w:rsidRPr="00A86DC2">
        <w:rPr>
          <w:rFonts w:ascii="Times New Roman" w:eastAsia="Calibri" w:hAnsi="Times New Roman" w:cs="Times New Roman"/>
          <w:color w:val="auto"/>
          <w:lang w:eastAsia="en-US" w:bidi="ar-SA"/>
        </w:rPr>
        <w:t xml:space="preserve">Намерението е ключовият елемент, който отличава измамата от нередността. </w:t>
      </w:r>
    </w:p>
    <w:p w14:paraId="325FEF11" w14:textId="0CF6430A" w:rsidR="00A86DC2" w:rsidRPr="00A86DC2" w:rsidRDefault="00A86DC2" w:rsidP="00242003">
      <w:pPr>
        <w:widowControl/>
        <w:spacing w:after="160" w:line="360" w:lineRule="auto"/>
        <w:jc w:val="both"/>
        <w:rPr>
          <w:rFonts w:ascii="Times New Roman" w:eastAsia="Calibri" w:hAnsi="Times New Roman" w:cs="Times New Roman"/>
          <w:color w:val="auto"/>
          <w:lang w:eastAsia="en-US" w:bidi="ar-SA"/>
        </w:rPr>
      </w:pPr>
      <w:r w:rsidRPr="00A86DC2">
        <w:rPr>
          <w:rFonts w:ascii="Times New Roman" w:eastAsia="Calibri" w:hAnsi="Times New Roman" w:cs="Times New Roman"/>
          <w:color w:val="auto"/>
          <w:lang w:eastAsia="en-US" w:bidi="ar-SA"/>
        </w:rPr>
        <w:t>Умишлената измама не е лесна за доказване, но има някои определени признаци като:</w:t>
      </w:r>
    </w:p>
    <w:p w14:paraId="25633618" w14:textId="77777777" w:rsidR="00A86DC2" w:rsidRPr="00A86DC2" w:rsidRDefault="00A86DC2" w:rsidP="00242003">
      <w:pPr>
        <w:widowControl/>
        <w:spacing w:after="160" w:line="360" w:lineRule="auto"/>
        <w:ind w:left="720"/>
        <w:jc w:val="both"/>
        <w:rPr>
          <w:rFonts w:ascii="Times New Roman" w:eastAsia="Calibri" w:hAnsi="Times New Roman" w:cs="Times New Roman"/>
          <w:color w:val="auto"/>
          <w:lang w:eastAsia="en-US" w:bidi="ar-SA"/>
        </w:rPr>
      </w:pPr>
      <w:r w:rsidRPr="00A86DC2">
        <w:rPr>
          <w:rFonts w:ascii="Times New Roman" w:eastAsia="Calibri" w:hAnsi="Times New Roman" w:cs="Times New Roman"/>
          <w:color w:val="auto"/>
          <w:lang w:eastAsia="en-US" w:bidi="ar-SA"/>
        </w:rPr>
        <w:t>Мотив – оказване на натиск за постигане на конкретни резултати, финансови злоупотреби</w:t>
      </w:r>
    </w:p>
    <w:p w14:paraId="6A1F052B" w14:textId="77777777" w:rsidR="00A86DC2" w:rsidRPr="00A86DC2" w:rsidRDefault="00A86DC2" w:rsidP="00242003">
      <w:pPr>
        <w:widowControl/>
        <w:spacing w:after="160" w:line="360" w:lineRule="auto"/>
        <w:ind w:left="720"/>
        <w:jc w:val="both"/>
        <w:rPr>
          <w:rFonts w:ascii="Times New Roman" w:eastAsia="Calibri" w:hAnsi="Times New Roman" w:cs="Times New Roman"/>
          <w:color w:val="auto"/>
          <w:lang w:eastAsia="en-US" w:bidi="ar-SA"/>
        </w:rPr>
      </w:pPr>
      <w:r w:rsidRPr="00A86DC2">
        <w:rPr>
          <w:rFonts w:ascii="Times New Roman" w:eastAsia="Calibri" w:hAnsi="Times New Roman" w:cs="Times New Roman"/>
          <w:color w:val="auto"/>
          <w:lang w:eastAsia="en-US" w:bidi="ar-SA"/>
        </w:rPr>
        <w:t>Възможност – контролните механизми не функционират, промени/загуби на персонала</w:t>
      </w:r>
    </w:p>
    <w:p w14:paraId="43162347" w14:textId="77777777" w:rsidR="00A86DC2" w:rsidRPr="00A86DC2" w:rsidRDefault="00A86DC2" w:rsidP="00242003">
      <w:pPr>
        <w:widowControl/>
        <w:spacing w:after="160" w:line="360" w:lineRule="auto"/>
        <w:ind w:left="720"/>
        <w:jc w:val="both"/>
        <w:rPr>
          <w:rFonts w:ascii="Times New Roman" w:eastAsia="Calibri" w:hAnsi="Times New Roman" w:cs="Times New Roman"/>
          <w:color w:val="auto"/>
          <w:lang w:eastAsia="en-US" w:bidi="ar-SA"/>
        </w:rPr>
      </w:pPr>
      <w:r w:rsidRPr="00A86DC2">
        <w:rPr>
          <w:rFonts w:ascii="Times New Roman" w:eastAsia="Calibri" w:hAnsi="Times New Roman" w:cs="Times New Roman"/>
          <w:color w:val="auto"/>
          <w:lang w:eastAsia="en-US" w:bidi="ar-SA"/>
        </w:rPr>
        <w:t>Повторение – ако даден тип нарушения не бъде открито навреме има възможност да се използва злоумишлено повторно</w:t>
      </w:r>
    </w:p>
    <w:p w14:paraId="435440C5" w14:textId="77777777" w:rsidR="00A86DC2" w:rsidRPr="00A86DC2" w:rsidRDefault="00A86DC2" w:rsidP="00242003">
      <w:pPr>
        <w:widowControl/>
        <w:spacing w:after="160" w:line="360" w:lineRule="auto"/>
        <w:ind w:left="720"/>
        <w:jc w:val="both"/>
        <w:rPr>
          <w:rFonts w:ascii="Times New Roman" w:eastAsia="Calibri" w:hAnsi="Times New Roman" w:cs="Times New Roman"/>
          <w:color w:val="auto"/>
          <w:lang w:eastAsia="en-US" w:bidi="ar-SA"/>
        </w:rPr>
      </w:pPr>
      <w:r w:rsidRPr="00A86DC2">
        <w:rPr>
          <w:rFonts w:ascii="Times New Roman" w:eastAsia="Calibri" w:hAnsi="Times New Roman" w:cs="Times New Roman"/>
          <w:color w:val="auto"/>
          <w:lang w:eastAsia="en-US" w:bidi="ar-SA"/>
        </w:rPr>
        <w:t>Укриване – Опит за прикриване на доказателствата</w:t>
      </w:r>
    </w:p>
    <w:p w14:paraId="153A7C5C" w14:textId="77777777" w:rsidR="00A86DC2" w:rsidRPr="00A86DC2" w:rsidRDefault="00A86DC2" w:rsidP="00242003">
      <w:pPr>
        <w:widowControl/>
        <w:spacing w:after="160" w:line="360" w:lineRule="auto"/>
        <w:jc w:val="both"/>
        <w:rPr>
          <w:rFonts w:ascii="Times New Roman" w:eastAsia="Calibri" w:hAnsi="Times New Roman" w:cs="Times New Roman"/>
          <w:color w:val="auto"/>
          <w:lang w:eastAsia="en-US" w:bidi="ar-SA"/>
        </w:rPr>
      </w:pPr>
      <w:r w:rsidRPr="00A86DC2">
        <w:rPr>
          <w:rFonts w:ascii="Times New Roman" w:eastAsia="Calibri" w:hAnsi="Times New Roman" w:cs="Times New Roman"/>
          <w:color w:val="auto"/>
          <w:lang w:eastAsia="en-US" w:bidi="ar-SA"/>
        </w:rPr>
        <w:t>Лицата, които биха могли да извършват измами</w:t>
      </w:r>
      <w:r w:rsidR="009C0321">
        <w:rPr>
          <w:rFonts w:ascii="Times New Roman" w:eastAsia="Calibri" w:hAnsi="Times New Roman" w:cs="Times New Roman"/>
          <w:color w:val="auto"/>
          <w:lang w:eastAsia="en-US" w:bidi="ar-SA"/>
        </w:rPr>
        <w:t>,</w:t>
      </w:r>
      <w:r w:rsidRPr="00A86DC2">
        <w:rPr>
          <w:rFonts w:ascii="Times New Roman" w:eastAsia="Calibri" w:hAnsi="Times New Roman" w:cs="Times New Roman"/>
          <w:color w:val="auto"/>
          <w:lang w:eastAsia="en-US" w:bidi="ar-SA"/>
        </w:rPr>
        <w:t xml:space="preserve"> могат да бъдат:</w:t>
      </w:r>
    </w:p>
    <w:p w14:paraId="7FC1939C" w14:textId="77777777" w:rsidR="00A86DC2" w:rsidRPr="00A86DC2" w:rsidRDefault="00A86DC2" w:rsidP="00242003">
      <w:pPr>
        <w:widowControl/>
        <w:spacing w:after="160" w:line="360" w:lineRule="auto"/>
        <w:ind w:left="720"/>
        <w:jc w:val="both"/>
        <w:rPr>
          <w:rFonts w:ascii="Times New Roman" w:eastAsia="Calibri" w:hAnsi="Times New Roman" w:cs="Times New Roman"/>
          <w:color w:val="auto"/>
          <w:lang w:eastAsia="en-US" w:bidi="ar-SA"/>
        </w:rPr>
      </w:pPr>
      <w:r w:rsidRPr="00A86DC2">
        <w:rPr>
          <w:rFonts w:ascii="Times New Roman" w:eastAsia="Calibri" w:hAnsi="Times New Roman" w:cs="Times New Roman"/>
          <w:color w:val="auto"/>
          <w:lang w:eastAsia="en-US" w:bidi="ar-SA"/>
        </w:rPr>
        <w:t>• Обществени лица – служители или длъжностни лица, които се възползват от безвъзмездни средства, предоставени от държавни или европейски фондове</w:t>
      </w:r>
    </w:p>
    <w:p w14:paraId="4048BEBC" w14:textId="77777777" w:rsidR="00A86DC2" w:rsidRPr="00A86DC2" w:rsidRDefault="00A86DC2" w:rsidP="00242003">
      <w:pPr>
        <w:widowControl/>
        <w:spacing w:after="160" w:line="360" w:lineRule="auto"/>
        <w:ind w:left="720"/>
        <w:jc w:val="both"/>
        <w:rPr>
          <w:rFonts w:ascii="Times New Roman" w:eastAsia="Calibri" w:hAnsi="Times New Roman" w:cs="Times New Roman"/>
          <w:color w:val="auto"/>
          <w:lang w:eastAsia="en-US" w:bidi="ar-SA"/>
        </w:rPr>
      </w:pPr>
      <w:r w:rsidRPr="00A86DC2">
        <w:rPr>
          <w:rFonts w:ascii="Times New Roman" w:eastAsia="Calibri" w:hAnsi="Times New Roman" w:cs="Times New Roman"/>
          <w:color w:val="auto"/>
          <w:lang w:eastAsia="en-US" w:bidi="ar-SA"/>
        </w:rPr>
        <w:t>• Доставчици и изпълнители – служители на външни фирми, които откриват възможността да използват неправомерно процеси или системи</w:t>
      </w:r>
    </w:p>
    <w:p w14:paraId="41C9FDE6" w14:textId="77777777" w:rsidR="00A86DC2" w:rsidRPr="00A86DC2" w:rsidRDefault="00A86DC2" w:rsidP="00242003">
      <w:pPr>
        <w:widowControl/>
        <w:spacing w:after="160" w:line="360" w:lineRule="auto"/>
        <w:ind w:left="720"/>
        <w:jc w:val="both"/>
        <w:rPr>
          <w:rFonts w:ascii="Times New Roman" w:eastAsia="Calibri" w:hAnsi="Times New Roman" w:cs="Times New Roman"/>
          <w:color w:val="auto"/>
          <w:lang w:eastAsia="en-US" w:bidi="ar-SA"/>
        </w:rPr>
      </w:pPr>
      <w:r w:rsidRPr="00A86DC2">
        <w:rPr>
          <w:rFonts w:ascii="Times New Roman" w:eastAsia="Calibri" w:hAnsi="Times New Roman" w:cs="Times New Roman"/>
          <w:color w:val="auto"/>
          <w:lang w:eastAsia="en-US" w:bidi="ar-SA"/>
        </w:rPr>
        <w:t>• Вътрешни лица – служители и/или чиновници, работещи в рамките на една организация, които сами извършват измами, или помагат на външни лица</w:t>
      </w:r>
    </w:p>
    <w:p w14:paraId="7D1E44F5" w14:textId="77777777" w:rsidR="00A86DC2" w:rsidRPr="00A86DC2" w:rsidRDefault="00A86DC2" w:rsidP="00242003">
      <w:pPr>
        <w:widowControl/>
        <w:spacing w:after="160" w:line="360" w:lineRule="auto"/>
        <w:ind w:left="720"/>
        <w:jc w:val="both"/>
        <w:rPr>
          <w:rFonts w:ascii="Times New Roman" w:eastAsia="Calibri" w:hAnsi="Times New Roman" w:cs="Times New Roman"/>
          <w:color w:val="auto"/>
          <w:lang w:eastAsia="en-US" w:bidi="ar-SA"/>
        </w:rPr>
      </w:pPr>
      <w:r w:rsidRPr="00A86DC2">
        <w:rPr>
          <w:rFonts w:ascii="Times New Roman" w:eastAsia="Calibri" w:hAnsi="Times New Roman" w:cs="Times New Roman"/>
          <w:color w:val="auto"/>
          <w:lang w:eastAsia="en-US" w:bidi="ar-SA"/>
        </w:rPr>
        <w:t>• Организирана престъпност.</w:t>
      </w:r>
    </w:p>
    <w:p w14:paraId="0D485422" w14:textId="449CB28A" w:rsidR="00A86DC2" w:rsidRPr="00491C6E" w:rsidRDefault="00A86DC2" w:rsidP="009D3F33">
      <w:pPr>
        <w:spacing w:line="360" w:lineRule="auto"/>
        <w:ind w:firstLine="708"/>
        <w:jc w:val="both"/>
        <w:rPr>
          <w:rFonts w:ascii="Times New Roman" w:hAnsi="Times New Roman" w:cs="Times New Roman"/>
        </w:rPr>
      </w:pPr>
      <w:r w:rsidRPr="00491C6E">
        <w:rPr>
          <w:rFonts w:ascii="Times New Roman" w:hAnsi="Times New Roman" w:cs="Times New Roman"/>
        </w:rPr>
        <w:t>Управляващият орган</w:t>
      </w:r>
      <w:r w:rsidR="009D3F33">
        <w:rPr>
          <w:rFonts w:ascii="Times New Roman" w:hAnsi="Times New Roman" w:cs="Times New Roman"/>
        </w:rPr>
        <w:t>/Националният орган</w:t>
      </w:r>
      <w:r w:rsidRPr="00491C6E">
        <w:rPr>
          <w:rFonts w:ascii="Times New Roman" w:hAnsi="Times New Roman" w:cs="Times New Roman"/>
        </w:rPr>
        <w:t xml:space="preserve"> има политика на нулева толерантност към измамите и корупцията. </w:t>
      </w:r>
      <w:r w:rsidR="000216B0">
        <w:rPr>
          <w:rFonts w:ascii="Times New Roman" w:hAnsi="Times New Roman" w:cs="Times New Roman"/>
        </w:rPr>
        <w:t>И</w:t>
      </w:r>
      <w:r w:rsidRPr="00491C6E">
        <w:rPr>
          <w:rFonts w:ascii="Times New Roman" w:hAnsi="Times New Roman" w:cs="Times New Roman"/>
        </w:rPr>
        <w:t>дентифицира</w:t>
      </w:r>
      <w:r w:rsidR="000216B0">
        <w:rPr>
          <w:rFonts w:ascii="Times New Roman" w:hAnsi="Times New Roman" w:cs="Times New Roman"/>
        </w:rPr>
        <w:t xml:space="preserve">ни са </w:t>
      </w:r>
      <w:r w:rsidRPr="00491C6E">
        <w:rPr>
          <w:rFonts w:ascii="Times New Roman" w:hAnsi="Times New Roman" w:cs="Times New Roman"/>
        </w:rPr>
        <w:t xml:space="preserve"> </w:t>
      </w:r>
      <w:r w:rsidR="000216B0">
        <w:rPr>
          <w:rFonts w:ascii="Times New Roman" w:hAnsi="Times New Roman" w:cs="Times New Roman"/>
        </w:rPr>
        <w:t>основните</w:t>
      </w:r>
      <w:r w:rsidRPr="00491C6E">
        <w:rPr>
          <w:rFonts w:ascii="Times New Roman" w:hAnsi="Times New Roman" w:cs="Times New Roman"/>
        </w:rPr>
        <w:t xml:space="preserve"> области</w:t>
      </w:r>
      <w:r w:rsidR="000216B0">
        <w:rPr>
          <w:rFonts w:ascii="Times New Roman" w:hAnsi="Times New Roman" w:cs="Times New Roman"/>
        </w:rPr>
        <w:t>, в които съществува риск от</w:t>
      </w:r>
      <w:r w:rsidRPr="00491C6E">
        <w:rPr>
          <w:rFonts w:ascii="Times New Roman" w:hAnsi="Times New Roman" w:cs="Times New Roman"/>
        </w:rPr>
        <w:t xml:space="preserve"> измами </w:t>
      </w:r>
      <w:r w:rsidR="006D22AF">
        <w:rPr>
          <w:rFonts w:ascii="Times New Roman" w:hAnsi="Times New Roman" w:cs="Times New Roman"/>
        </w:rPr>
        <w:t xml:space="preserve">при изпълнението на </w:t>
      </w:r>
      <w:r w:rsidRPr="00491C6E">
        <w:rPr>
          <w:rFonts w:ascii="Times New Roman" w:hAnsi="Times New Roman" w:cs="Times New Roman"/>
        </w:rPr>
        <w:t>програми</w:t>
      </w:r>
      <w:r w:rsidR="006D22AF">
        <w:rPr>
          <w:rFonts w:ascii="Times New Roman" w:hAnsi="Times New Roman" w:cs="Times New Roman"/>
        </w:rPr>
        <w:t>те</w:t>
      </w:r>
      <w:r w:rsidRPr="00491C6E">
        <w:rPr>
          <w:rFonts w:ascii="Times New Roman" w:hAnsi="Times New Roman" w:cs="Times New Roman"/>
        </w:rPr>
        <w:t xml:space="preserve"> и проекти</w:t>
      </w:r>
      <w:r w:rsidR="006D22AF">
        <w:rPr>
          <w:rFonts w:ascii="Times New Roman" w:hAnsi="Times New Roman" w:cs="Times New Roman"/>
        </w:rPr>
        <w:t>те, съфинансирани от ЕС, като са въведени контролни механизми</w:t>
      </w:r>
      <w:r w:rsidRPr="00491C6E">
        <w:rPr>
          <w:rFonts w:ascii="Times New Roman" w:hAnsi="Times New Roman" w:cs="Times New Roman"/>
        </w:rPr>
        <w:t xml:space="preserve">, мерки и процедури, </w:t>
      </w:r>
      <w:r w:rsidR="006D22AF">
        <w:rPr>
          <w:rFonts w:ascii="Times New Roman" w:hAnsi="Times New Roman" w:cs="Times New Roman"/>
        </w:rPr>
        <w:t xml:space="preserve">насочени към предотвратяване и </w:t>
      </w:r>
      <w:r w:rsidR="006D22AF">
        <w:rPr>
          <w:rFonts w:ascii="Times New Roman" w:hAnsi="Times New Roman" w:cs="Times New Roman"/>
        </w:rPr>
        <w:lastRenderedPageBreak/>
        <w:t xml:space="preserve">своевременно установяване на възможни </w:t>
      </w:r>
      <w:r w:rsidRPr="00491C6E">
        <w:rPr>
          <w:rFonts w:ascii="Times New Roman" w:hAnsi="Times New Roman" w:cs="Times New Roman"/>
        </w:rPr>
        <w:t xml:space="preserve"> случаи</w:t>
      </w:r>
      <w:r w:rsidR="006D22AF">
        <w:rPr>
          <w:rFonts w:ascii="Times New Roman" w:hAnsi="Times New Roman" w:cs="Times New Roman"/>
        </w:rPr>
        <w:t xml:space="preserve"> и индикатори за измама.</w:t>
      </w:r>
    </w:p>
    <w:p w14:paraId="2AD049D6" w14:textId="7CA9A102" w:rsidR="00A86DC2" w:rsidRPr="00491C6E" w:rsidRDefault="00A86DC2" w:rsidP="006E2247">
      <w:pPr>
        <w:spacing w:line="360" w:lineRule="auto"/>
        <w:jc w:val="both"/>
        <w:rPr>
          <w:rFonts w:ascii="Times New Roman" w:hAnsi="Times New Roman" w:cs="Times New Roman"/>
        </w:rPr>
      </w:pPr>
      <w:r w:rsidRPr="00491C6E">
        <w:rPr>
          <w:rFonts w:ascii="Times New Roman" w:hAnsi="Times New Roman" w:cs="Times New Roman"/>
        </w:rPr>
        <w:t xml:space="preserve">Управляващият орган очаква всички служители и </w:t>
      </w:r>
      <w:r w:rsidR="006D22AF">
        <w:rPr>
          <w:rFonts w:ascii="Times New Roman" w:hAnsi="Times New Roman" w:cs="Times New Roman"/>
        </w:rPr>
        <w:t>лица участващи в изпълнението, управлението и контрола П</w:t>
      </w:r>
      <w:r w:rsidRPr="00491C6E">
        <w:rPr>
          <w:rFonts w:ascii="Times New Roman" w:hAnsi="Times New Roman" w:cs="Times New Roman"/>
        </w:rPr>
        <w:t>рограми</w:t>
      </w:r>
      <w:r w:rsidR="006D22AF">
        <w:rPr>
          <w:rFonts w:ascii="Times New Roman" w:hAnsi="Times New Roman" w:cs="Times New Roman"/>
        </w:rPr>
        <w:t>те</w:t>
      </w:r>
      <w:r w:rsidRPr="00491C6E">
        <w:rPr>
          <w:rFonts w:ascii="Times New Roman" w:hAnsi="Times New Roman" w:cs="Times New Roman"/>
        </w:rPr>
        <w:t xml:space="preserve"> за трансгранично сътрудничество</w:t>
      </w:r>
      <w:r w:rsidR="006D22AF">
        <w:rPr>
          <w:rFonts w:ascii="Times New Roman" w:hAnsi="Times New Roman" w:cs="Times New Roman"/>
        </w:rPr>
        <w:t>, Интеррег ИПП</w:t>
      </w:r>
      <w:r w:rsidR="006D22AF" w:rsidRPr="006D22AF">
        <w:rPr>
          <w:rFonts w:ascii="Times New Roman" w:hAnsi="Times New Roman" w:cs="Times New Roman"/>
        </w:rPr>
        <w:t xml:space="preserve"> България – Сърбия, </w:t>
      </w:r>
      <w:r w:rsidR="006D22AF">
        <w:rPr>
          <w:rFonts w:ascii="Times New Roman" w:hAnsi="Times New Roman" w:cs="Times New Roman"/>
        </w:rPr>
        <w:t>Интерег ИПП</w:t>
      </w:r>
      <w:r w:rsidR="006D22AF" w:rsidRPr="006D22AF">
        <w:rPr>
          <w:rFonts w:ascii="Times New Roman" w:hAnsi="Times New Roman" w:cs="Times New Roman"/>
        </w:rPr>
        <w:t xml:space="preserve"> България – Турция и </w:t>
      </w:r>
      <w:r w:rsidR="006D22AF">
        <w:rPr>
          <w:rFonts w:ascii="Times New Roman" w:hAnsi="Times New Roman" w:cs="Times New Roman"/>
        </w:rPr>
        <w:t>Интерег ИПП</w:t>
      </w:r>
      <w:r w:rsidR="006D22AF" w:rsidRPr="006D22AF">
        <w:rPr>
          <w:rFonts w:ascii="Times New Roman" w:hAnsi="Times New Roman" w:cs="Times New Roman"/>
        </w:rPr>
        <w:t xml:space="preserve"> IPA България – Северна Македония</w:t>
      </w:r>
      <w:r w:rsidR="006D22AF">
        <w:rPr>
          <w:rFonts w:ascii="Times New Roman" w:hAnsi="Times New Roman" w:cs="Times New Roman"/>
        </w:rPr>
        <w:t>,</w:t>
      </w:r>
      <w:r w:rsidRPr="00491C6E">
        <w:rPr>
          <w:rFonts w:ascii="Times New Roman" w:hAnsi="Times New Roman" w:cs="Times New Roman"/>
        </w:rPr>
        <w:t xml:space="preserve">да </w:t>
      </w:r>
      <w:r w:rsidR="006D22AF">
        <w:rPr>
          <w:rFonts w:ascii="Times New Roman" w:hAnsi="Times New Roman" w:cs="Times New Roman"/>
        </w:rPr>
        <w:t xml:space="preserve">спазват </w:t>
      </w:r>
      <w:r w:rsidR="00394937">
        <w:rPr>
          <w:rFonts w:ascii="Times New Roman" w:hAnsi="Times New Roman" w:cs="Times New Roman"/>
        </w:rPr>
        <w:t>приложимото законодателство</w:t>
      </w:r>
      <w:r w:rsidR="00617DFF">
        <w:rPr>
          <w:rFonts w:ascii="Times New Roman" w:hAnsi="Times New Roman" w:cs="Times New Roman"/>
        </w:rPr>
        <w:t xml:space="preserve">, </w:t>
      </w:r>
      <w:r w:rsidRPr="00491C6E">
        <w:rPr>
          <w:rFonts w:ascii="Times New Roman" w:hAnsi="Times New Roman" w:cs="Times New Roman"/>
        </w:rPr>
        <w:t xml:space="preserve"> наредби</w:t>
      </w:r>
      <w:r w:rsidR="00617DFF">
        <w:rPr>
          <w:rFonts w:ascii="Times New Roman" w:hAnsi="Times New Roman" w:cs="Times New Roman"/>
        </w:rPr>
        <w:t>те</w:t>
      </w:r>
      <w:r w:rsidRPr="00491C6E">
        <w:rPr>
          <w:rFonts w:ascii="Times New Roman" w:hAnsi="Times New Roman" w:cs="Times New Roman"/>
        </w:rPr>
        <w:t>, кодекси</w:t>
      </w:r>
      <w:r w:rsidR="00617DFF">
        <w:rPr>
          <w:rFonts w:ascii="Times New Roman" w:hAnsi="Times New Roman" w:cs="Times New Roman"/>
        </w:rPr>
        <w:t>те</w:t>
      </w:r>
      <w:r w:rsidRPr="00491C6E">
        <w:rPr>
          <w:rFonts w:ascii="Times New Roman" w:hAnsi="Times New Roman" w:cs="Times New Roman"/>
        </w:rPr>
        <w:t xml:space="preserve"> за поведение, </w:t>
      </w:r>
      <w:r w:rsidR="00617DFF">
        <w:rPr>
          <w:rFonts w:ascii="Times New Roman" w:hAnsi="Times New Roman" w:cs="Times New Roman"/>
        </w:rPr>
        <w:t xml:space="preserve">вътрешните правила и </w:t>
      </w:r>
      <w:r w:rsidRPr="00491C6E">
        <w:rPr>
          <w:rFonts w:ascii="Times New Roman" w:hAnsi="Times New Roman" w:cs="Times New Roman"/>
        </w:rPr>
        <w:t>процедури</w:t>
      </w:r>
      <w:r w:rsidR="00617DFF">
        <w:rPr>
          <w:rFonts w:ascii="Times New Roman" w:hAnsi="Times New Roman" w:cs="Times New Roman"/>
        </w:rPr>
        <w:t>, както и да действат в съответствие с принципите на почтеност, безпристрастност и професионална етика</w:t>
      </w:r>
      <w:r w:rsidRPr="00491C6E">
        <w:rPr>
          <w:rFonts w:ascii="Times New Roman" w:hAnsi="Times New Roman" w:cs="Times New Roman"/>
        </w:rPr>
        <w:t>.</w:t>
      </w:r>
    </w:p>
    <w:p w14:paraId="13AD5409" w14:textId="5E7693B3" w:rsidR="00A86DC2" w:rsidRPr="00491C6E" w:rsidRDefault="00DE321C" w:rsidP="00242003">
      <w:pPr>
        <w:spacing w:line="360" w:lineRule="auto"/>
        <w:jc w:val="both"/>
        <w:rPr>
          <w:rFonts w:ascii="Times New Roman" w:hAnsi="Times New Roman" w:cs="Times New Roman"/>
        </w:rPr>
      </w:pPr>
      <w:r>
        <w:rPr>
          <w:rFonts w:ascii="Times New Roman" w:hAnsi="Times New Roman" w:cs="Times New Roman"/>
        </w:rPr>
        <w:tab/>
      </w:r>
      <w:r w:rsidR="00A86DC2" w:rsidRPr="00491C6E">
        <w:rPr>
          <w:rFonts w:ascii="Times New Roman" w:hAnsi="Times New Roman" w:cs="Times New Roman"/>
        </w:rPr>
        <w:t>Чрез настоящата политика за борба с измамите Дирекция „Управление на териториалното сътрудничество“ ясно изразява намерение:</w:t>
      </w:r>
    </w:p>
    <w:p w14:paraId="7B7DA712" w14:textId="77777777" w:rsidR="00A86DC2" w:rsidRPr="00491C6E" w:rsidRDefault="00A86DC2" w:rsidP="00242003">
      <w:pPr>
        <w:spacing w:line="360" w:lineRule="auto"/>
        <w:ind w:firstLine="720"/>
        <w:jc w:val="both"/>
        <w:rPr>
          <w:rFonts w:ascii="Times New Roman" w:hAnsi="Times New Roman" w:cs="Times New Roman"/>
        </w:rPr>
      </w:pPr>
      <w:r w:rsidRPr="00491C6E">
        <w:rPr>
          <w:rFonts w:ascii="Times New Roman" w:hAnsi="Times New Roman" w:cs="Times New Roman"/>
        </w:rPr>
        <w:t>• да насърчава култура, която възпира измамни дейности</w:t>
      </w:r>
    </w:p>
    <w:p w14:paraId="1E7F5A86" w14:textId="77777777" w:rsidR="00A86DC2" w:rsidRPr="00491C6E" w:rsidRDefault="00A86DC2" w:rsidP="00242003">
      <w:pPr>
        <w:spacing w:line="360" w:lineRule="auto"/>
        <w:ind w:firstLine="720"/>
        <w:jc w:val="both"/>
        <w:rPr>
          <w:rFonts w:ascii="Times New Roman" w:hAnsi="Times New Roman" w:cs="Times New Roman"/>
        </w:rPr>
      </w:pPr>
      <w:r w:rsidRPr="00491C6E">
        <w:rPr>
          <w:rFonts w:ascii="Times New Roman" w:hAnsi="Times New Roman" w:cs="Times New Roman"/>
        </w:rPr>
        <w:t>• за улесняване на предотвратяването и разкриването на измами</w:t>
      </w:r>
    </w:p>
    <w:p w14:paraId="16C07942" w14:textId="1292CDD4" w:rsidR="00A86DC2" w:rsidRPr="00491C6E" w:rsidRDefault="00A86DC2" w:rsidP="00242003">
      <w:pPr>
        <w:spacing w:line="360" w:lineRule="auto"/>
        <w:ind w:firstLine="720"/>
        <w:jc w:val="both"/>
        <w:rPr>
          <w:rFonts w:ascii="Times New Roman" w:hAnsi="Times New Roman" w:cs="Times New Roman"/>
        </w:rPr>
      </w:pPr>
      <w:r w:rsidRPr="00491C6E">
        <w:rPr>
          <w:rFonts w:ascii="Times New Roman" w:hAnsi="Times New Roman" w:cs="Times New Roman"/>
        </w:rPr>
        <w:t xml:space="preserve">• да се разработват процедури, които ще помогнат при </w:t>
      </w:r>
      <w:r w:rsidR="00F126FF" w:rsidRPr="00F126FF">
        <w:rPr>
          <w:rFonts w:ascii="Times New Roman" w:hAnsi="Times New Roman" w:cs="Times New Roman"/>
        </w:rPr>
        <w:t>установяването на съмнения за измами и предприемането на последващи действия от компетентните органи</w:t>
      </w:r>
      <w:r w:rsidR="00F126FF">
        <w:rPr>
          <w:rFonts w:ascii="Times New Roman" w:hAnsi="Times New Roman" w:cs="Times New Roman"/>
        </w:rPr>
        <w:t xml:space="preserve"> и</w:t>
      </w:r>
      <w:r w:rsidRPr="00491C6E">
        <w:rPr>
          <w:rFonts w:ascii="Times New Roman" w:hAnsi="Times New Roman" w:cs="Times New Roman"/>
        </w:rPr>
        <w:t xml:space="preserve"> които ще гарантират, че тези случаи се разглеждат своевременно и по подходящ начин.</w:t>
      </w:r>
    </w:p>
    <w:p w14:paraId="70F8A3C1" w14:textId="77777777" w:rsidR="00A86DC2" w:rsidRPr="00491C6E" w:rsidRDefault="00A86DC2" w:rsidP="00242003">
      <w:pPr>
        <w:pStyle w:val="20"/>
        <w:shd w:val="clear" w:color="auto" w:fill="auto"/>
        <w:spacing w:before="0" w:after="327" w:line="360" w:lineRule="auto"/>
        <w:ind w:firstLine="0"/>
        <w:jc w:val="both"/>
      </w:pPr>
    </w:p>
    <w:p w14:paraId="0DAF0798" w14:textId="060D154B" w:rsidR="00AB77B1" w:rsidRPr="00491C6E" w:rsidRDefault="00DE321C" w:rsidP="006E2247">
      <w:pPr>
        <w:pStyle w:val="12"/>
        <w:keepNext/>
        <w:keepLines/>
        <w:shd w:val="clear" w:color="auto" w:fill="auto"/>
        <w:spacing w:before="0" w:after="201" w:line="360" w:lineRule="auto"/>
        <w:jc w:val="both"/>
      </w:pPr>
      <w:bookmarkStart w:id="2" w:name="bookmark2"/>
      <w:r w:rsidRPr="00DE321C">
        <w:rPr>
          <w:rStyle w:val="13"/>
          <w:b/>
          <w:bCs/>
          <w:u w:val="none"/>
        </w:rPr>
        <w:tab/>
      </w:r>
      <w:r w:rsidR="003A5CC3" w:rsidRPr="00491C6E">
        <w:rPr>
          <w:rStyle w:val="13"/>
          <w:b/>
          <w:bCs/>
        </w:rPr>
        <w:t>Отговорности</w:t>
      </w:r>
      <w:bookmarkEnd w:id="2"/>
    </w:p>
    <w:p w14:paraId="0EC31C07" w14:textId="3EF69ADD" w:rsidR="00A86DC2" w:rsidRPr="00A86DC2" w:rsidRDefault="00DE321C" w:rsidP="006E2247">
      <w:pPr>
        <w:widowControl/>
        <w:spacing w:after="160" w:line="360" w:lineRule="auto"/>
        <w:jc w:val="both"/>
        <w:rPr>
          <w:rFonts w:ascii="Times New Roman" w:eastAsia="Calibri" w:hAnsi="Times New Roman" w:cs="Times New Roman"/>
          <w:color w:val="auto"/>
          <w:lang w:eastAsia="en-US" w:bidi="ar-SA"/>
        </w:rPr>
      </w:pPr>
      <w:bookmarkStart w:id="3" w:name="bookmark3"/>
      <w:r>
        <w:rPr>
          <w:rFonts w:ascii="Times New Roman" w:eastAsia="Calibri" w:hAnsi="Times New Roman" w:cs="Times New Roman"/>
          <w:color w:val="auto"/>
          <w:lang w:eastAsia="en-US" w:bidi="ar-SA"/>
        </w:rPr>
        <w:tab/>
      </w:r>
      <w:r w:rsidR="009825DA">
        <w:rPr>
          <w:rFonts w:ascii="Times New Roman" w:eastAsia="Calibri" w:hAnsi="Times New Roman" w:cs="Times New Roman"/>
          <w:color w:val="auto"/>
          <w:lang w:eastAsia="en-US" w:bidi="ar-SA"/>
        </w:rPr>
        <w:t xml:space="preserve">Предотвратяването на измами е споделена отговорност </w:t>
      </w:r>
      <w:r w:rsidR="00A86DC2" w:rsidRPr="00A86DC2">
        <w:rPr>
          <w:rFonts w:ascii="Times New Roman" w:eastAsia="Calibri" w:hAnsi="Times New Roman" w:cs="Times New Roman"/>
          <w:color w:val="auto"/>
          <w:lang w:eastAsia="en-US" w:bidi="ar-SA"/>
        </w:rPr>
        <w:t>на всички участ</w:t>
      </w:r>
      <w:r w:rsidR="009825DA">
        <w:rPr>
          <w:rFonts w:ascii="Times New Roman" w:eastAsia="Calibri" w:hAnsi="Times New Roman" w:cs="Times New Roman"/>
          <w:color w:val="auto"/>
          <w:lang w:eastAsia="en-US" w:bidi="ar-SA"/>
        </w:rPr>
        <w:t>ници</w:t>
      </w:r>
      <w:r w:rsidR="00A86DC2" w:rsidRPr="00A86DC2">
        <w:rPr>
          <w:rFonts w:ascii="Times New Roman" w:eastAsia="Calibri" w:hAnsi="Times New Roman" w:cs="Times New Roman"/>
          <w:color w:val="auto"/>
          <w:lang w:eastAsia="en-US" w:bidi="ar-SA"/>
        </w:rPr>
        <w:t xml:space="preserve"> в програмите</w:t>
      </w:r>
      <w:r w:rsidR="009825DA">
        <w:rPr>
          <w:rFonts w:ascii="Times New Roman" w:eastAsia="Calibri" w:hAnsi="Times New Roman" w:cs="Times New Roman"/>
          <w:color w:val="auto"/>
          <w:lang w:eastAsia="en-US" w:bidi="ar-SA"/>
        </w:rPr>
        <w:t xml:space="preserve">, </w:t>
      </w:r>
      <w:r w:rsidR="00A86DC2" w:rsidRPr="00A86DC2">
        <w:rPr>
          <w:rFonts w:ascii="Times New Roman" w:eastAsia="Calibri" w:hAnsi="Times New Roman" w:cs="Times New Roman"/>
          <w:color w:val="auto"/>
          <w:lang w:eastAsia="en-US" w:bidi="ar-SA"/>
        </w:rPr>
        <w:t>инициативи</w:t>
      </w:r>
      <w:r w:rsidR="009825DA">
        <w:rPr>
          <w:rFonts w:ascii="Times New Roman" w:eastAsia="Calibri" w:hAnsi="Times New Roman" w:cs="Times New Roman"/>
          <w:color w:val="auto"/>
          <w:lang w:eastAsia="en-US" w:bidi="ar-SA"/>
        </w:rPr>
        <w:t>те</w:t>
      </w:r>
      <w:r w:rsidR="00A86DC2" w:rsidRPr="00A86DC2">
        <w:rPr>
          <w:rFonts w:ascii="Times New Roman" w:eastAsia="Calibri" w:hAnsi="Times New Roman" w:cs="Times New Roman"/>
          <w:color w:val="auto"/>
          <w:lang w:eastAsia="en-US" w:bidi="ar-SA"/>
        </w:rPr>
        <w:t xml:space="preserve"> и проекти</w:t>
      </w:r>
      <w:r w:rsidR="009825DA">
        <w:rPr>
          <w:rFonts w:ascii="Times New Roman" w:eastAsia="Calibri" w:hAnsi="Times New Roman" w:cs="Times New Roman"/>
          <w:color w:val="auto"/>
          <w:lang w:eastAsia="en-US" w:bidi="ar-SA"/>
        </w:rPr>
        <w:t>те</w:t>
      </w:r>
      <w:r w:rsidR="00A86DC2" w:rsidRPr="00A86DC2">
        <w:rPr>
          <w:rFonts w:ascii="Times New Roman" w:eastAsia="Calibri" w:hAnsi="Times New Roman" w:cs="Times New Roman"/>
          <w:color w:val="auto"/>
          <w:lang w:eastAsia="en-US" w:bidi="ar-SA"/>
        </w:rPr>
        <w:t xml:space="preserve"> на ЕС. </w:t>
      </w:r>
      <w:r w:rsidR="009825DA">
        <w:rPr>
          <w:rFonts w:ascii="Times New Roman" w:eastAsia="Calibri" w:hAnsi="Times New Roman" w:cs="Times New Roman"/>
          <w:color w:val="auto"/>
          <w:lang w:eastAsia="en-US" w:bidi="ar-SA"/>
        </w:rPr>
        <w:t>В тази връзка</w:t>
      </w:r>
      <w:r w:rsidR="00A86DC2" w:rsidRPr="00A86DC2">
        <w:rPr>
          <w:rFonts w:ascii="Times New Roman" w:eastAsia="Calibri" w:hAnsi="Times New Roman" w:cs="Times New Roman"/>
          <w:color w:val="auto"/>
          <w:lang w:eastAsia="en-US" w:bidi="ar-SA"/>
        </w:rPr>
        <w:t xml:space="preserve"> Управляващият</w:t>
      </w:r>
      <w:r w:rsidR="001B7832">
        <w:rPr>
          <w:rFonts w:ascii="Times New Roman" w:eastAsia="Calibri" w:hAnsi="Times New Roman" w:cs="Times New Roman"/>
          <w:color w:val="auto"/>
          <w:lang w:eastAsia="en-US" w:bidi="ar-SA"/>
        </w:rPr>
        <w:t>/Националният</w:t>
      </w:r>
      <w:r w:rsidR="00A86DC2" w:rsidRPr="00A86DC2">
        <w:rPr>
          <w:rFonts w:ascii="Times New Roman" w:eastAsia="Calibri" w:hAnsi="Times New Roman" w:cs="Times New Roman"/>
          <w:color w:val="auto"/>
          <w:lang w:eastAsia="en-US" w:bidi="ar-SA"/>
        </w:rPr>
        <w:t xml:space="preserve"> орган</w:t>
      </w:r>
      <w:r w:rsidR="001B7832">
        <w:rPr>
          <w:rFonts w:ascii="Times New Roman" w:eastAsia="Calibri" w:hAnsi="Times New Roman" w:cs="Times New Roman"/>
          <w:color w:val="auto"/>
          <w:lang w:eastAsia="en-US" w:bidi="ar-SA"/>
        </w:rPr>
        <w:t xml:space="preserve"> (УО/НО)</w:t>
      </w:r>
      <w:r w:rsidR="00A86DC2" w:rsidRPr="00A86DC2">
        <w:rPr>
          <w:rFonts w:ascii="Times New Roman" w:eastAsia="Calibri" w:hAnsi="Times New Roman" w:cs="Times New Roman"/>
          <w:color w:val="auto"/>
          <w:lang w:eastAsia="en-US" w:bidi="ar-SA"/>
        </w:rPr>
        <w:t xml:space="preserve"> насърчава всички партньори, изпълнители, служители или </w:t>
      </w:r>
      <w:r w:rsidR="00CD30B2">
        <w:rPr>
          <w:rFonts w:ascii="Times New Roman" w:eastAsia="Calibri" w:hAnsi="Times New Roman" w:cs="Times New Roman"/>
          <w:color w:val="auto"/>
          <w:lang w:eastAsia="en-US" w:bidi="ar-SA"/>
        </w:rPr>
        <w:t>други заинтересовани лица</w:t>
      </w:r>
      <w:r w:rsidR="00CD30B2" w:rsidRPr="00A86DC2">
        <w:rPr>
          <w:rFonts w:ascii="Times New Roman" w:eastAsia="Calibri" w:hAnsi="Times New Roman" w:cs="Times New Roman"/>
          <w:color w:val="auto"/>
          <w:lang w:eastAsia="en-US" w:bidi="ar-SA"/>
        </w:rPr>
        <w:t xml:space="preserve"> </w:t>
      </w:r>
      <w:r w:rsidR="00A86DC2" w:rsidRPr="00A86DC2">
        <w:rPr>
          <w:rFonts w:ascii="Times New Roman" w:eastAsia="Calibri" w:hAnsi="Times New Roman" w:cs="Times New Roman"/>
          <w:color w:val="auto"/>
          <w:lang w:eastAsia="en-US" w:bidi="ar-SA"/>
        </w:rPr>
        <w:t>да</w:t>
      </w:r>
      <w:r w:rsidR="009825DA">
        <w:rPr>
          <w:rFonts w:ascii="Times New Roman" w:eastAsia="Calibri" w:hAnsi="Times New Roman" w:cs="Times New Roman"/>
          <w:color w:val="auto"/>
          <w:lang w:eastAsia="en-US" w:bidi="ar-SA"/>
        </w:rPr>
        <w:t xml:space="preserve"> допринасят</w:t>
      </w:r>
      <w:r w:rsidR="00A86DC2" w:rsidRPr="00A86DC2">
        <w:rPr>
          <w:rFonts w:ascii="Times New Roman" w:eastAsia="Calibri" w:hAnsi="Times New Roman" w:cs="Times New Roman"/>
          <w:color w:val="auto"/>
          <w:lang w:eastAsia="en-US" w:bidi="ar-SA"/>
        </w:rPr>
        <w:t xml:space="preserve"> за предотвратя</w:t>
      </w:r>
      <w:r w:rsidR="00C644E8">
        <w:rPr>
          <w:rFonts w:ascii="Times New Roman" w:eastAsia="Calibri" w:hAnsi="Times New Roman" w:cs="Times New Roman"/>
          <w:color w:val="auto"/>
          <w:lang w:eastAsia="en-US" w:bidi="ar-SA"/>
        </w:rPr>
        <w:t>ването на</w:t>
      </w:r>
      <w:r w:rsidR="00A86DC2" w:rsidRPr="00A86DC2">
        <w:rPr>
          <w:rFonts w:ascii="Times New Roman" w:eastAsia="Calibri" w:hAnsi="Times New Roman" w:cs="Times New Roman"/>
          <w:color w:val="auto"/>
          <w:lang w:eastAsia="en-US" w:bidi="ar-SA"/>
        </w:rPr>
        <w:t xml:space="preserve"> възникване на измами</w:t>
      </w:r>
      <w:r w:rsidR="00E603CC">
        <w:rPr>
          <w:rFonts w:ascii="Times New Roman" w:eastAsia="Calibri" w:hAnsi="Times New Roman" w:cs="Times New Roman"/>
          <w:color w:val="auto"/>
          <w:lang w:eastAsia="en-US" w:bidi="ar-SA"/>
        </w:rPr>
        <w:t>, съотве</w:t>
      </w:r>
      <w:r w:rsidR="00CD30B2">
        <w:rPr>
          <w:rFonts w:ascii="Times New Roman" w:eastAsia="Calibri" w:hAnsi="Times New Roman" w:cs="Times New Roman"/>
          <w:color w:val="auto"/>
          <w:lang w:eastAsia="en-US" w:bidi="ar-SA"/>
        </w:rPr>
        <w:t>тно</w:t>
      </w:r>
      <w:r w:rsidR="00A86DC2" w:rsidRPr="00A86DC2">
        <w:rPr>
          <w:rFonts w:ascii="Times New Roman" w:eastAsia="Calibri" w:hAnsi="Times New Roman" w:cs="Times New Roman"/>
          <w:color w:val="auto"/>
          <w:lang w:eastAsia="en-US" w:bidi="ar-SA"/>
        </w:rPr>
        <w:t xml:space="preserve"> да въведат подходящи мерки за откриването им.</w:t>
      </w:r>
    </w:p>
    <w:p w14:paraId="6E16E8CB" w14:textId="159FE81B" w:rsidR="00A86DC2" w:rsidRPr="00A86DC2" w:rsidRDefault="00DE321C" w:rsidP="006E2247">
      <w:pPr>
        <w:widowControl/>
        <w:spacing w:after="160" w:line="360" w:lineRule="auto"/>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ab/>
      </w:r>
      <w:r w:rsidR="00C61A4E">
        <w:rPr>
          <w:rFonts w:ascii="Times New Roman" w:eastAsia="Calibri" w:hAnsi="Times New Roman" w:cs="Times New Roman"/>
          <w:color w:val="auto"/>
          <w:lang w:eastAsia="en-US" w:bidi="ar-SA"/>
        </w:rPr>
        <w:t>Отговорността</w:t>
      </w:r>
      <w:r w:rsidR="00A86DC2" w:rsidRPr="00A86DC2">
        <w:rPr>
          <w:rFonts w:ascii="Times New Roman" w:eastAsia="Calibri" w:hAnsi="Times New Roman" w:cs="Times New Roman"/>
          <w:color w:val="auto"/>
          <w:lang w:eastAsia="en-US" w:bidi="ar-SA"/>
        </w:rPr>
        <w:t xml:space="preserve"> за управлението на риска от измами и корупция е делегирана на Ръководителя на УО</w:t>
      </w:r>
      <w:r w:rsidR="00242003">
        <w:rPr>
          <w:rFonts w:ascii="Times New Roman" w:eastAsia="Calibri" w:hAnsi="Times New Roman" w:cs="Times New Roman"/>
          <w:color w:val="auto"/>
          <w:lang w:eastAsia="en-US" w:bidi="ar-SA"/>
        </w:rPr>
        <w:t>/НО</w:t>
      </w:r>
      <w:r w:rsidR="00A86DC2" w:rsidRPr="00A86DC2">
        <w:rPr>
          <w:rFonts w:ascii="Times New Roman" w:eastAsia="Calibri" w:hAnsi="Times New Roman" w:cs="Times New Roman"/>
          <w:color w:val="auto"/>
          <w:lang w:eastAsia="en-US" w:bidi="ar-SA"/>
        </w:rPr>
        <w:t xml:space="preserve">, който отговаря за: </w:t>
      </w:r>
    </w:p>
    <w:p w14:paraId="7FEDB30C" w14:textId="77777777" w:rsidR="00A86DC2" w:rsidRPr="00A86DC2" w:rsidRDefault="00A86DC2" w:rsidP="006E2247">
      <w:pPr>
        <w:widowControl/>
        <w:numPr>
          <w:ilvl w:val="0"/>
          <w:numId w:val="2"/>
        </w:numPr>
        <w:spacing w:after="160" w:line="360" w:lineRule="auto"/>
        <w:contextualSpacing/>
        <w:jc w:val="both"/>
        <w:rPr>
          <w:rFonts w:ascii="Times New Roman" w:eastAsia="Calibri" w:hAnsi="Times New Roman" w:cs="Times New Roman"/>
          <w:color w:val="auto"/>
          <w:lang w:eastAsia="en-US" w:bidi="ar-SA"/>
        </w:rPr>
      </w:pPr>
      <w:r w:rsidRPr="00A86DC2">
        <w:rPr>
          <w:rFonts w:ascii="Times New Roman" w:eastAsia="Calibri" w:hAnsi="Times New Roman" w:cs="Times New Roman"/>
          <w:color w:val="auto"/>
          <w:lang w:eastAsia="en-US" w:bidi="ar-SA"/>
        </w:rPr>
        <w:t xml:space="preserve">извършване, с помощта на екип за оценка на риска, на редовен преглед на риска от измами – към Дирекция УТС със заповед </w:t>
      </w:r>
      <w:r w:rsidRPr="009D3F33">
        <w:rPr>
          <w:rFonts w:ascii="Times New Roman" w:eastAsia="Calibri" w:hAnsi="Times New Roman" w:cs="Times New Roman"/>
          <w:color w:val="auto"/>
          <w:lang w:eastAsia="en-US" w:bidi="ar-SA"/>
        </w:rPr>
        <w:t>РД-02-14-1065/13.12.2021 г. има създадена постоянната работна група за оценка на риска от измами по ИНТЕРРЕГ ИПП програмите България – Сърбия 2014 - 2020, България – Турция 2014 - 2020</w:t>
      </w:r>
      <w:r w:rsidRPr="00A86DC2">
        <w:rPr>
          <w:rFonts w:ascii="Times New Roman" w:eastAsia="Calibri" w:hAnsi="Times New Roman" w:cs="Times New Roman"/>
          <w:color w:val="auto"/>
          <w:lang w:eastAsia="en-US" w:bidi="ar-SA"/>
        </w:rPr>
        <w:t xml:space="preserve"> и CCI2014TCI5CB006, която извършва текуща оценка на риска от измами и идентифициране на нови рискове на всеки шест месеца;</w:t>
      </w:r>
    </w:p>
    <w:p w14:paraId="5CFAC493" w14:textId="384B6DC3" w:rsidR="00A86DC2" w:rsidRDefault="00A86DC2" w:rsidP="006E2247">
      <w:pPr>
        <w:widowControl/>
        <w:numPr>
          <w:ilvl w:val="0"/>
          <w:numId w:val="2"/>
        </w:numPr>
        <w:spacing w:after="160" w:line="360" w:lineRule="auto"/>
        <w:contextualSpacing/>
        <w:jc w:val="both"/>
        <w:rPr>
          <w:rFonts w:ascii="Times New Roman" w:eastAsia="Calibri" w:hAnsi="Times New Roman" w:cs="Times New Roman"/>
          <w:color w:val="auto"/>
          <w:lang w:eastAsia="en-US" w:bidi="ar-SA"/>
        </w:rPr>
      </w:pPr>
      <w:r w:rsidRPr="00A86DC2">
        <w:rPr>
          <w:rFonts w:ascii="Times New Roman" w:eastAsia="Calibri" w:hAnsi="Times New Roman" w:cs="Times New Roman"/>
          <w:color w:val="auto"/>
          <w:lang w:eastAsia="en-US" w:bidi="ar-SA"/>
        </w:rPr>
        <w:lastRenderedPageBreak/>
        <w:t>установяване на ефективна политика за борба с измамите и план за ответни мерки срещу измамит</w:t>
      </w:r>
      <w:r w:rsidR="00355DED">
        <w:rPr>
          <w:rFonts w:ascii="Times New Roman" w:eastAsia="Calibri" w:hAnsi="Times New Roman" w:cs="Times New Roman"/>
          <w:color w:val="auto"/>
          <w:lang w:eastAsia="en-US" w:bidi="ar-SA"/>
        </w:rPr>
        <w:t>е – има създадена работна група, назначена със Заповед №РД-02-14-</w:t>
      </w:r>
      <w:r w:rsidR="001B7832">
        <w:rPr>
          <w:rFonts w:ascii="Times New Roman" w:eastAsia="Calibri" w:hAnsi="Times New Roman" w:cs="Times New Roman"/>
          <w:color w:val="auto"/>
          <w:lang w:eastAsia="en-US" w:bidi="ar-SA"/>
        </w:rPr>
        <w:t>1107</w:t>
      </w:r>
      <w:r w:rsidR="00355DED">
        <w:rPr>
          <w:rFonts w:ascii="Times New Roman" w:eastAsia="Calibri" w:hAnsi="Times New Roman" w:cs="Times New Roman"/>
          <w:color w:val="auto"/>
          <w:lang w:eastAsia="en-US" w:bidi="ar-SA"/>
        </w:rPr>
        <w:t>/</w:t>
      </w:r>
      <w:r w:rsidR="001B7832">
        <w:rPr>
          <w:rFonts w:ascii="Times New Roman" w:eastAsia="Calibri" w:hAnsi="Times New Roman" w:cs="Times New Roman"/>
          <w:color w:val="auto"/>
          <w:lang w:eastAsia="en-US" w:bidi="ar-SA"/>
        </w:rPr>
        <w:t>24</w:t>
      </w:r>
      <w:r w:rsidR="00355DED">
        <w:rPr>
          <w:rFonts w:ascii="Times New Roman" w:eastAsia="Calibri" w:hAnsi="Times New Roman" w:cs="Times New Roman"/>
          <w:color w:val="auto"/>
          <w:lang w:eastAsia="en-US" w:bidi="ar-SA"/>
        </w:rPr>
        <w:t>.</w:t>
      </w:r>
      <w:r w:rsidR="001B7832">
        <w:rPr>
          <w:rFonts w:ascii="Times New Roman" w:eastAsia="Calibri" w:hAnsi="Times New Roman" w:cs="Times New Roman"/>
          <w:color w:val="auto"/>
          <w:lang w:eastAsia="en-US" w:bidi="ar-SA"/>
        </w:rPr>
        <w:t>03</w:t>
      </w:r>
      <w:r w:rsidR="00355DED">
        <w:rPr>
          <w:rFonts w:ascii="Times New Roman" w:eastAsia="Calibri" w:hAnsi="Times New Roman" w:cs="Times New Roman"/>
          <w:color w:val="auto"/>
          <w:lang w:eastAsia="en-US" w:bidi="ar-SA"/>
        </w:rPr>
        <w:t>.202</w:t>
      </w:r>
      <w:r w:rsidR="001B7832">
        <w:rPr>
          <w:rFonts w:ascii="Times New Roman" w:eastAsia="Calibri" w:hAnsi="Times New Roman" w:cs="Times New Roman"/>
          <w:color w:val="auto"/>
          <w:lang w:eastAsia="en-US" w:bidi="ar-SA"/>
        </w:rPr>
        <w:t>6</w:t>
      </w:r>
      <w:r w:rsidR="00355DED">
        <w:rPr>
          <w:rFonts w:ascii="Times New Roman" w:eastAsia="Calibri" w:hAnsi="Times New Roman" w:cs="Times New Roman"/>
          <w:color w:val="auto"/>
          <w:lang w:eastAsia="en-US" w:bidi="ar-SA"/>
        </w:rPr>
        <w:t xml:space="preserve"> г</w:t>
      </w:r>
      <w:r w:rsidR="00355DED" w:rsidRPr="00C61A4E">
        <w:rPr>
          <w:rFonts w:ascii="Times New Roman" w:eastAsia="Calibri" w:hAnsi="Times New Roman" w:cs="Times New Roman"/>
          <w:color w:val="auto"/>
          <w:lang w:eastAsia="en-US" w:bidi="ar-SA"/>
        </w:rPr>
        <w:t>.</w:t>
      </w:r>
      <w:r w:rsidRPr="00C61A4E">
        <w:rPr>
          <w:rFonts w:ascii="Times New Roman" w:eastAsia="Calibri" w:hAnsi="Times New Roman" w:cs="Times New Roman"/>
          <w:color w:val="auto"/>
          <w:lang w:eastAsia="en-US" w:bidi="ar-SA"/>
        </w:rPr>
        <w:t xml:space="preserve"> със задача</w:t>
      </w:r>
      <w:r w:rsidR="00355DED">
        <w:rPr>
          <w:rFonts w:ascii="Times New Roman" w:eastAsia="Calibri" w:hAnsi="Times New Roman" w:cs="Times New Roman"/>
          <w:color w:val="auto"/>
          <w:lang w:eastAsia="en-US" w:bidi="ar-SA"/>
        </w:rPr>
        <w:t xml:space="preserve"> </w:t>
      </w:r>
      <w:r w:rsidR="001B7832">
        <w:rPr>
          <w:rFonts w:ascii="Times New Roman" w:eastAsia="Calibri" w:hAnsi="Times New Roman" w:cs="Times New Roman"/>
          <w:color w:val="auto"/>
          <w:lang w:eastAsia="en-US" w:bidi="ar-SA"/>
        </w:rPr>
        <w:t>изготвяне на</w:t>
      </w:r>
      <w:r w:rsidR="00355DED">
        <w:rPr>
          <w:rFonts w:ascii="Times New Roman" w:eastAsia="Calibri" w:hAnsi="Times New Roman" w:cs="Times New Roman"/>
          <w:color w:val="auto"/>
          <w:lang w:eastAsia="en-US" w:bidi="ar-SA"/>
        </w:rPr>
        <w:t xml:space="preserve"> „Политики за борба с измамите и конфликта на интереси“</w:t>
      </w:r>
      <w:r w:rsidR="00C61A4E">
        <w:rPr>
          <w:rFonts w:ascii="Times New Roman" w:eastAsia="Calibri" w:hAnsi="Times New Roman" w:cs="Times New Roman"/>
          <w:color w:val="auto"/>
          <w:lang w:eastAsia="en-US" w:bidi="ar-SA"/>
        </w:rPr>
        <w:t xml:space="preserve"> и на „Насоки за избягването и управлението на конфликти на интереси</w:t>
      </w:r>
      <w:r w:rsidR="00790001">
        <w:rPr>
          <w:rFonts w:ascii="Times New Roman" w:eastAsia="Calibri" w:hAnsi="Times New Roman" w:cs="Times New Roman"/>
          <w:color w:val="auto"/>
          <w:lang w:eastAsia="en-US" w:bidi="ar-SA"/>
        </w:rPr>
        <w:t>“</w:t>
      </w:r>
    </w:p>
    <w:p w14:paraId="16E78249" w14:textId="71CEE847" w:rsidR="00790001" w:rsidRDefault="00790001" w:rsidP="006E2247">
      <w:pPr>
        <w:widowControl/>
        <w:numPr>
          <w:ilvl w:val="0"/>
          <w:numId w:val="2"/>
        </w:numPr>
        <w:spacing w:after="160" w:line="360" w:lineRule="auto"/>
        <w:contextualSpacing/>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гарантиране на незабавното уведомяване на компетентните органи в случаи на подозрение за извършена измама/престъпление?</w:t>
      </w:r>
    </w:p>
    <w:p w14:paraId="29B1EFE5" w14:textId="1C0ED426" w:rsidR="00790001" w:rsidRPr="00A86DC2" w:rsidRDefault="00790001" w:rsidP="006E2247">
      <w:pPr>
        <w:widowControl/>
        <w:numPr>
          <w:ilvl w:val="0"/>
          <w:numId w:val="2"/>
        </w:numPr>
        <w:spacing w:after="160" w:line="360" w:lineRule="auto"/>
        <w:contextualSpacing/>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Осигуряване на достъп до данни и документи на национални европейски контролни органи и одитни органи.</w:t>
      </w:r>
    </w:p>
    <w:p w14:paraId="06661EAE" w14:textId="6C65F490" w:rsidR="00A86DC2" w:rsidRDefault="00A86DC2" w:rsidP="009D3F33">
      <w:pPr>
        <w:pStyle w:val="ListParagraph"/>
        <w:widowControl/>
        <w:numPr>
          <w:ilvl w:val="0"/>
          <w:numId w:val="2"/>
        </w:numPr>
        <w:spacing w:after="160" w:line="360" w:lineRule="auto"/>
        <w:jc w:val="both"/>
        <w:rPr>
          <w:rFonts w:ascii="Times New Roman" w:eastAsia="Calibri" w:hAnsi="Times New Roman" w:cs="Times New Roman"/>
          <w:color w:val="auto"/>
          <w:lang w:eastAsia="en-US" w:bidi="ar-SA"/>
        </w:rPr>
      </w:pPr>
      <w:r w:rsidRPr="009D3F33">
        <w:rPr>
          <w:rFonts w:ascii="Times New Roman" w:eastAsia="Calibri" w:hAnsi="Times New Roman" w:cs="Times New Roman"/>
          <w:color w:val="auto"/>
          <w:lang w:eastAsia="en-US" w:bidi="ar-SA"/>
        </w:rPr>
        <w:t>осигуряване на осведоменост относно измамите и обучение за персонала;</w:t>
      </w:r>
      <w:r w:rsidR="00C644E8">
        <w:rPr>
          <w:rFonts w:ascii="Times New Roman" w:eastAsia="Calibri" w:hAnsi="Times New Roman" w:cs="Times New Roman"/>
          <w:color w:val="auto"/>
          <w:lang w:eastAsia="en-US" w:bidi="ar-SA"/>
        </w:rPr>
        <w:t xml:space="preserve"> </w:t>
      </w:r>
    </w:p>
    <w:p w14:paraId="1E6425C9" w14:textId="19D33FBF" w:rsidR="00B74DF2" w:rsidRPr="009D3F33" w:rsidRDefault="00B74DF2" w:rsidP="00947810">
      <w:pPr>
        <w:widowControl/>
        <w:spacing w:after="160" w:line="360" w:lineRule="auto"/>
        <w:ind w:firstLine="36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Със Заповед № РД-02-14-1480/21.07.2025 г. е определена</w:t>
      </w:r>
      <w:r w:rsidRPr="00B74DF2">
        <w:t xml:space="preserve"> </w:t>
      </w:r>
      <w:r w:rsidRPr="00B74DF2">
        <w:rPr>
          <w:rFonts w:ascii="Times New Roman" w:eastAsia="Calibri" w:hAnsi="Times New Roman" w:cs="Times New Roman"/>
          <w:color w:val="auto"/>
          <w:lang w:eastAsia="en-US"/>
        </w:rPr>
        <w:t>постоянна работна група по оценка на риска на институционално ниво в дирекция „Управление на териториалното сътрудничество“</w:t>
      </w:r>
      <w:r>
        <w:rPr>
          <w:rFonts w:ascii="Times New Roman" w:eastAsia="Calibri" w:hAnsi="Times New Roman" w:cs="Times New Roman"/>
          <w:color w:val="auto"/>
          <w:lang w:eastAsia="en-US"/>
        </w:rPr>
        <w:t xml:space="preserve"> със задачи и</w:t>
      </w:r>
      <w:r w:rsidRPr="00B74DF2">
        <w:rPr>
          <w:rFonts w:ascii="Times New Roman" w:eastAsia="Calibri" w:hAnsi="Times New Roman" w:cs="Times New Roman"/>
          <w:color w:val="auto"/>
          <w:lang w:eastAsia="en-US"/>
        </w:rPr>
        <w:t>дентифициране</w:t>
      </w:r>
      <w:r>
        <w:rPr>
          <w:rFonts w:ascii="Times New Roman" w:eastAsia="Calibri" w:hAnsi="Times New Roman" w:cs="Times New Roman"/>
          <w:color w:val="auto"/>
          <w:lang w:eastAsia="en-US"/>
        </w:rPr>
        <w:t>, анализ и оценка на рисковете, и</w:t>
      </w:r>
      <w:r w:rsidRPr="00B74DF2">
        <w:rPr>
          <w:rFonts w:ascii="Times New Roman" w:eastAsia="Calibri" w:hAnsi="Times New Roman" w:cs="Times New Roman"/>
          <w:color w:val="auto"/>
          <w:lang w:eastAsia="en-US"/>
        </w:rPr>
        <w:t>зготвяне на актуален регистър на идентифицираните рискове и регистър на остатъчните рискове</w:t>
      </w:r>
      <w:r>
        <w:rPr>
          <w:rFonts w:ascii="Times New Roman" w:eastAsia="Calibri" w:hAnsi="Times New Roman" w:cs="Times New Roman"/>
          <w:color w:val="auto"/>
          <w:lang w:eastAsia="en-US"/>
        </w:rPr>
        <w:t xml:space="preserve"> и и</w:t>
      </w:r>
      <w:r w:rsidRPr="00B74DF2">
        <w:rPr>
          <w:rFonts w:ascii="Times New Roman" w:eastAsia="Calibri" w:hAnsi="Times New Roman" w:cs="Times New Roman"/>
          <w:color w:val="auto"/>
          <w:lang w:eastAsia="en-US"/>
        </w:rPr>
        <w:t>зготвяне и предоставяне на доклад за оценка на състоянието на дейността по управление на риска в дирекция УТС, съгласно Стратегията за управление на риска в системата на Министерство на регионалното развитие и благоустройството.</w:t>
      </w:r>
      <w:r>
        <w:rPr>
          <w:rFonts w:ascii="Times New Roman" w:eastAsia="Calibri" w:hAnsi="Times New Roman" w:cs="Times New Roman"/>
          <w:color w:val="auto"/>
          <w:lang w:eastAsia="en-US"/>
        </w:rPr>
        <w:t xml:space="preserve"> </w:t>
      </w:r>
    </w:p>
    <w:p w14:paraId="7C8AB3D7" w14:textId="714D4A17" w:rsidR="00C644E8" w:rsidRPr="00C644E8" w:rsidRDefault="00C644E8" w:rsidP="00947810">
      <w:pPr>
        <w:widowControl/>
        <w:spacing w:after="160" w:line="360" w:lineRule="auto"/>
        <w:ind w:firstLine="36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В </w:t>
      </w:r>
      <w:r w:rsidRPr="00C644E8">
        <w:rPr>
          <w:rFonts w:ascii="Times New Roman" w:eastAsia="Calibri" w:hAnsi="Times New Roman" w:cs="Times New Roman"/>
          <w:color w:val="auto"/>
          <w:lang w:eastAsia="en-US" w:bidi="ar-SA"/>
        </w:rPr>
        <w:t xml:space="preserve">допълнение към горепосочените мерки, </w:t>
      </w:r>
      <w:r w:rsidR="00E603CC">
        <w:rPr>
          <w:rFonts w:ascii="Times New Roman" w:eastAsia="Calibri" w:hAnsi="Times New Roman" w:cs="Times New Roman"/>
          <w:color w:val="auto"/>
          <w:lang w:eastAsia="en-US" w:bidi="ar-SA"/>
        </w:rPr>
        <w:t xml:space="preserve">всички </w:t>
      </w:r>
      <w:r w:rsidRPr="00C644E8">
        <w:rPr>
          <w:rFonts w:ascii="Times New Roman" w:eastAsia="Calibri" w:hAnsi="Times New Roman" w:cs="Times New Roman"/>
          <w:color w:val="auto"/>
          <w:lang w:eastAsia="en-US" w:bidi="ar-SA"/>
        </w:rPr>
        <w:t xml:space="preserve">служители, участващи в управлението и контрола на програмите, </w:t>
      </w:r>
      <w:r w:rsidR="00E603CC">
        <w:rPr>
          <w:rFonts w:ascii="Times New Roman" w:eastAsia="Calibri" w:hAnsi="Times New Roman" w:cs="Times New Roman"/>
          <w:color w:val="auto"/>
          <w:lang w:eastAsia="en-US" w:bidi="ar-SA"/>
        </w:rPr>
        <w:t xml:space="preserve">попълват изрична </w:t>
      </w:r>
      <w:r w:rsidRPr="00C644E8">
        <w:rPr>
          <w:rFonts w:ascii="Times New Roman" w:eastAsia="Calibri" w:hAnsi="Times New Roman" w:cs="Times New Roman"/>
          <w:color w:val="auto"/>
          <w:lang w:eastAsia="en-US" w:bidi="ar-SA"/>
        </w:rPr>
        <w:t>деклара</w:t>
      </w:r>
      <w:r w:rsidR="00E603CC">
        <w:rPr>
          <w:rFonts w:ascii="Times New Roman" w:eastAsia="Calibri" w:hAnsi="Times New Roman" w:cs="Times New Roman"/>
          <w:color w:val="auto"/>
          <w:lang w:eastAsia="en-US" w:bidi="ar-SA"/>
        </w:rPr>
        <w:t>ция за запознаване с</w:t>
      </w:r>
      <w:r w:rsidRPr="00C644E8">
        <w:rPr>
          <w:rFonts w:ascii="Times New Roman" w:eastAsia="Calibri" w:hAnsi="Times New Roman" w:cs="Times New Roman"/>
          <w:color w:val="auto"/>
          <w:lang w:eastAsia="en-US" w:bidi="ar-SA"/>
        </w:rPr>
        <w:t xml:space="preserve"> определението за измама и с установения ред за докладване на съмнения за измама.</w:t>
      </w:r>
    </w:p>
    <w:p w14:paraId="079CA3B1" w14:textId="5864B5DA" w:rsidR="00C644E8" w:rsidRPr="00727985" w:rsidRDefault="00C644E8" w:rsidP="00947810">
      <w:pPr>
        <w:widowControl/>
        <w:spacing w:after="160" w:line="360" w:lineRule="auto"/>
        <w:ind w:firstLine="360"/>
        <w:jc w:val="both"/>
        <w:rPr>
          <w:rFonts w:ascii="Times New Roman" w:eastAsia="Calibri" w:hAnsi="Times New Roman" w:cs="Times New Roman"/>
          <w:color w:val="auto"/>
          <w:lang w:eastAsia="en-US" w:bidi="ar-SA"/>
        </w:rPr>
      </w:pPr>
      <w:r w:rsidRPr="00C644E8">
        <w:rPr>
          <w:rFonts w:ascii="Times New Roman" w:eastAsia="Calibri" w:hAnsi="Times New Roman" w:cs="Times New Roman"/>
          <w:color w:val="auto"/>
          <w:lang w:eastAsia="en-US" w:bidi="ar-SA"/>
        </w:rPr>
        <w:t>При извършване на контролни дейности се използва контролен лист за проверка на индикатори за измама (</w:t>
      </w:r>
      <w:r>
        <w:rPr>
          <w:rFonts w:ascii="Times New Roman" w:eastAsia="Calibri" w:hAnsi="Times New Roman" w:cs="Times New Roman"/>
          <w:color w:val="auto"/>
          <w:lang w:eastAsia="en-US" w:bidi="ar-SA"/>
        </w:rPr>
        <w:t>„</w:t>
      </w:r>
      <w:r w:rsidRPr="00C644E8">
        <w:rPr>
          <w:rFonts w:ascii="Times New Roman" w:eastAsia="Calibri" w:hAnsi="Times New Roman" w:cs="Times New Roman"/>
          <w:color w:val="auto"/>
          <w:lang w:eastAsia="en-US" w:bidi="ar-SA"/>
        </w:rPr>
        <w:t>red flags</w:t>
      </w:r>
      <w:r>
        <w:rPr>
          <w:rFonts w:ascii="Times New Roman" w:eastAsia="Calibri" w:hAnsi="Times New Roman" w:cs="Times New Roman"/>
          <w:color w:val="auto"/>
          <w:lang w:eastAsia="en-US" w:bidi="ar-SA"/>
        </w:rPr>
        <w:t>“</w:t>
      </w:r>
      <w:r w:rsidRPr="00C644E8">
        <w:rPr>
          <w:rFonts w:ascii="Times New Roman" w:eastAsia="Calibri" w:hAnsi="Times New Roman" w:cs="Times New Roman"/>
          <w:color w:val="auto"/>
          <w:lang w:eastAsia="en-US" w:bidi="ar-SA"/>
        </w:rPr>
        <w:t>), като проверката обхваща всички разходи, включени в съответното искане за национално контролиране.</w:t>
      </w:r>
    </w:p>
    <w:p w14:paraId="16B39EC1" w14:textId="77777777" w:rsidR="00A86DC2" w:rsidRPr="00785FC5" w:rsidRDefault="00A86DC2" w:rsidP="00947810">
      <w:pPr>
        <w:widowControl/>
        <w:spacing w:after="160" w:line="360" w:lineRule="auto"/>
        <w:ind w:firstLine="360"/>
        <w:jc w:val="both"/>
        <w:rPr>
          <w:rFonts w:ascii="Times New Roman" w:eastAsia="Calibri" w:hAnsi="Times New Roman" w:cs="Times New Roman"/>
          <w:color w:val="auto"/>
          <w:lang w:eastAsia="en-US" w:bidi="ar-SA"/>
        </w:rPr>
      </w:pPr>
      <w:r w:rsidRPr="00A86DC2">
        <w:rPr>
          <w:rFonts w:ascii="Times New Roman" w:eastAsia="Calibri" w:hAnsi="Times New Roman" w:cs="Times New Roman"/>
          <w:color w:val="auto"/>
          <w:lang w:eastAsia="en-US" w:bidi="ar-SA"/>
        </w:rPr>
        <w:t xml:space="preserve">Лицата, отговорни за процесите/ръководителите на отделите в Дирекцията носят </w:t>
      </w:r>
      <w:r w:rsidRPr="00785FC5">
        <w:rPr>
          <w:rFonts w:ascii="Times New Roman" w:eastAsia="Calibri" w:hAnsi="Times New Roman" w:cs="Times New Roman"/>
          <w:color w:val="auto"/>
          <w:lang w:eastAsia="en-US" w:bidi="ar-SA"/>
        </w:rPr>
        <w:t>отговорност за ежедневното управление на рисковете от измами и плановете за действие, както е посочено в оценката на риска от измами, и по-специално за:</w:t>
      </w:r>
    </w:p>
    <w:p w14:paraId="03DE05AB" w14:textId="77777777" w:rsidR="00A86DC2" w:rsidRPr="00785FC5" w:rsidRDefault="00A86DC2" w:rsidP="00785FC5">
      <w:pPr>
        <w:pStyle w:val="NoSpacing"/>
        <w:numPr>
          <w:ilvl w:val="0"/>
          <w:numId w:val="3"/>
        </w:numPr>
        <w:spacing w:line="360" w:lineRule="auto"/>
        <w:jc w:val="both"/>
        <w:rPr>
          <w:rFonts w:ascii="Times New Roman" w:hAnsi="Times New Roman" w:cs="Times New Roman"/>
          <w:lang w:eastAsia="en-US" w:bidi="ar-SA"/>
        </w:rPr>
      </w:pPr>
      <w:r w:rsidRPr="00785FC5">
        <w:rPr>
          <w:rFonts w:ascii="Times New Roman" w:hAnsi="Times New Roman" w:cs="Times New Roman"/>
          <w:lang w:eastAsia="en-US" w:bidi="ar-SA"/>
        </w:rPr>
        <w:t xml:space="preserve">гарантиране на наличието на подходяща система за вътрешен контрол в тяхната област на отговорност; </w:t>
      </w:r>
    </w:p>
    <w:p w14:paraId="778C2365" w14:textId="77777777" w:rsidR="00A86DC2" w:rsidRPr="00785FC5" w:rsidRDefault="00A86DC2" w:rsidP="00785FC5">
      <w:pPr>
        <w:pStyle w:val="NoSpacing"/>
        <w:numPr>
          <w:ilvl w:val="0"/>
          <w:numId w:val="3"/>
        </w:numPr>
        <w:spacing w:line="360" w:lineRule="auto"/>
        <w:jc w:val="both"/>
        <w:rPr>
          <w:rFonts w:ascii="Times New Roman" w:hAnsi="Times New Roman" w:cs="Times New Roman"/>
          <w:lang w:eastAsia="en-US" w:bidi="ar-SA"/>
        </w:rPr>
      </w:pPr>
      <w:r w:rsidRPr="00785FC5">
        <w:rPr>
          <w:rFonts w:ascii="Times New Roman" w:hAnsi="Times New Roman" w:cs="Times New Roman"/>
          <w:lang w:eastAsia="en-US" w:bidi="ar-SA"/>
        </w:rPr>
        <w:t xml:space="preserve">предотвратяване и откриване на измами; </w:t>
      </w:r>
    </w:p>
    <w:p w14:paraId="5636D552" w14:textId="77777777" w:rsidR="00A86DC2" w:rsidRPr="00785FC5" w:rsidRDefault="00A86DC2" w:rsidP="00785FC5">
      <w:pPr>
        <w:pStyle w:val="NoSpacing"/>
        <w:numPr>
          <w:ilvl w:val="0"/>
          <w:numId w:val="3"/>
        </w:numPr>
        <w:spacing w:line="360" w:lineRule="auto"/>
        <w:jc w:val="both"/>
        <w:rPr>
          <w:rFonts w:ascii="Times New Roman" w:hAnsi="Times New Roman" w:cs="Times New Roman"/>
          <w:lang w:eastAsia="en-US" w:bidi="ar-SA"/>
        </w:rPr>
      </w:pPr>
      <w:r w:rsidRPr="00785FC5">
        <w:rPr>
          <w:rFonts w:ascii="Times New Roman" w:hAnsi="Times New Roman" w:cs="Times New Roman"/>
          <w:lang w:eastAsia="en-US" w:bidi="ar-SA"/>
        </w:rPr>
        <w:t xml:space="preserve">осигуряване на надлежна проверка и прилагане на превантивни мерки в случай на съмнение за измама; </w:t>
      </w:r>
    </w:p>
    <w:p w14:paraId="10A29FE8" w14:textId="77777777" w:rsidR="00A86DC2" w:rsidRPr="00785FC5" w:rsidRDefault="00A86DC2" w:rsidP="00785FC5">
      <w:pPr>
        <w:pStyle w:val="NoSpacing"/>
        <w:numPr>
          <w:ilvl w:val="0"/>
          <w:numId w:val="3"/>
        </w:numPr>
        <w:spacing w:line="360" w:lineRule="auto"/>
        <w:jc w:val="both"/>
        <w:rPr>
          <w:rFonts w:ascii="Times New Roman" w:hAnsi="Times New Roman" w:cs="Times New Roman"/>
          <w:lang w:eastAsia="en-US" w:bidi="ar-SA"/>
        </w:rPr>
      </w:pPr>
      <w:r w:rsidRPr="00785FC5">
        <w:rPr>
          <w:rFonts w:ascii="Times New Roman" w:hAnsi="Times New Roman" w:cs="Times New Roman"/>
          <w:lang w:eastAsia="en-US" w:bidi="ar-SA"/>
        </w:rPr>
        <w:lastRenderedPageBreak/>
        <w:t>предприемане на коригиращи мерки, включително всякакви административни наказания, когато това е уместно.</w:t>
      </w:r>
    </w:p>
    <w:p w14:paraId="49DD3716" w14:textId="329802CA" w:rsidR="00785FC5" w:rsidRPr="00785FC5" w:rsidRDefault="00DE321C" w:rsidP="00785FC5">
      <w:pPr>
        <w:pStyle w:val="NoSpacing"/>
        <w:spacing w:line="360" w:lineRule="auto"/>
        <w:jc w:val="both"/>
        <w:rPr>
          <w:rStyle w:val="13"/>
          <w:rFonts w:eastAsia="Arial Unicode MS"/>
          <w:b w:val="0"/>
          <w:bCs w:val="0"/>
        </w:rPr>
      </w:pPr>
      <w:r w:rsidRPr="00DE321C">
        <w:rPr>
          <w:rStyle w:val="13"/>
          <w:rFonts w:eastAsia="Arial Unicode MS"/>
          <w:u w:val="none"/>
        </w:rPr>
        <w:tab/>
      </w:r>
      <w:r w:rsidR="003A5CC3" w:rsidRPr="00785FC5">
        <w:rPr>
          <w:rStyle w:val="13"/>
          <w:rFonts w:eastAsia="Arial Unicode MS"/>
        </w:rPr>
        <w:t>Докладване на измами</w:t>
      </w:r>
      <w:bookmarkStart w:id="4" w:name="bookmark4"/>
      <w:bookmarkEnd w:id="3"/>
      <w:r w:rsidR="00785FC5" w:rsidRPr="00785FC5">
        <w:rPr>
          <w:rStyle w:val="13"/>
          <w:rFonts w:eastAsia="Arial Unicode MS"/>
          <w:b w:val="0"/>
          <w:bCs w:val="0"/>
        </w:rPr>
        <w:t xml:space="preserve"> </w:t>
      </w:r>
    </w:p>
    <w:p w14:paraId="4C1C58B5" w14:textId="77777777" w:rsidR="00F7310F" w:rsidRDefault="006E2247" w:rsidP="00947810">
      <w:pPr>
        <w:pStyle w:val="NoSpacing"/>
        <w:spacing w:line="360" w:lineRule="auto"/>
        <w:ind w:firstLine="708"/>
        <w:jc w:val="both"/>
        <w:rPr>
          <w:rFonts w:ascii="Times New Roman" w:hAnsi="Times New Roman" w:cs="Times New Roman"/>
        </w:rPr>
      </w:pPr>
      <w:r w:rsidRPr="00785FC5">
        <w:rPr>
          <w:rFonts w:ascii="Times New Roman" w:hAnsi="Times New Roman" w:cs="Times New Roman"/>
        </w:rPr>
        <w:t>УО</w:t>
      </w:r>
      <w:r w:rsidR="001B7832">
        <w:rPr>
          <w:rFonts w:ascii="Times New Roman" w:hAnsi="Times New Roman" w:cs="Times New Roman"/>
        </w:rPr>
        <w:t>/НО</w:t>
      </w:r>
      <w:r w:rsidRPr="00785FC5">
        <w:rPr>
          <w:rFonts w:ascii="Times New Roman" w:hAnsi="Times New Roman" w:cs="Times New Roman"/>
        </w:rPr>
        <w:t xml:space="preserve"> е въвел процедури за докладване на измами както на вътрешно равнище, така и пред Европейската служба за борба с измамите. В съответствие с член 325 (1) от Договора за функционирането на Европейския съюз (ДФЕС) държавите-членки са длъжни да предприемат действия за борба с измамите и всяка незаконна дейност, засягаща финансовите интереси на Съюза. УО представя пред Европейската комисия всяка година доклад, относно предприетите мерки за борба с измамите, в изпълнение на член 325 (5) от ДФЕС. </w:t>
      </w:r>
    </w:p>
    <w:p w14:paraId="2E2CA48E" w14:textId="23BEC5D9" w:rsidR="00AB77B1" w:rsidRPr="00785FC5" w:rsidRDefault="006E2247" w:rsidP="00A6112C">
      <w:pPr>
        <w:pStyle w:val="NoSpacing"/>
        <w:spacing w:line="360" w:lineRule="auto"/>
        <w:ind w:firstLine="708"/>
        <w:jc w:val="both"/>
      </w:pPr>
      <w:r w:rsidRPr="00785FC5">
        <w:rPr>
          <w:rFonts w:ascii="Times New Roman" w:hAnsi="Times New Roman" w:cs="Times New Roman"/>
        </w:rPr>
        <w:t>С цел повишаване ефективността на действията за борба с измамите и други незаконни дейности в ущърб на интересите на Общността на 28 април 1999 г. с Решение на Комисията 1999/352/ЕО е създадена Европейската служба за борба с измамите (ОЛАФ) и е приет Регламент (ЕО) № 1073/1999 на Европейския Парламент и на Съвета от 25 май 1999 година относно разследванията, провеждани от Европейската служба за борба с измамите. Службата е натоварена с отговорност за провеждане на административни разследвания, като средство за борба с измамите, и има специален статут на независим орган за разследване в рамките на Европейската комисия. ОЛАФ упражнява правомощията за разследване на Комисията в съответствие със законодателството на ЕС и влезлите в сила споразумения с трети страни. Европейската служба за борба с измамите провежда своята дейност в тясно взаимодействие с Координационните служби за борба с измамите – АФКОС на държавите-членки (Anti-Fraud Co-ordination Service – AFCOS), с които осъществява ефективно сътрудничество и обмен на информация, включително информация от оперативен характер, като по този начин осигурява в рамките на Съюза единодействие и координация на борбата с измамите и нередностите. Наред с посочените задължения в чл. 325 (1) от ДФЕС, в чл. 325 (2) се предвижда, държавите-членки да предприемат същите мерки за предотвратяване на измами, засягащи финансовите интереси на Съюза, каквито биха предприели при предотвратяване на измами, засягащи собствените им финансови интереси. В тази връзка е приета Национална стратегия за превенция и борба с нередностите и измамите, засягащи финансовите интереси на ЕС. При осъществяване на контролните си функции, УО</w:t>
      </w:r>
      <w:r w:rsidR="00C61A4E">
        <w:rPr>
          <w:rFonts w:ascii="Times New Roman" w:hAnsi="Times New Roman" w:cs="Times New Roman"/>
        </w:rPr>
        <w:t>/НО</w:t>
      </w:r>
      <w:r w:rsidRPr="00785FC5">
        <w:rPr>
          <w:rFonts w:ascii="Times New Roman" w:hAnsi="Times New Roman" w:cs="Times New Roman"/>
        </w:rPr>
        <w:t xml:space="preserve"> носи отговорност за въвеждането на ефективни системи за установяване и регистриране на случаи на нередности по всички приоритетни оси на оперативната програма, както и за тяхното докладване и последващо </w:t>
      </w:r>
      <w:r w:rsidRPr="00785FC5">
        <w:rPr>
          <w:rFonts w:ascii="Times New Roman" w:hAnsi="Times New Roman" w:cs="Times New Roman"/>
        </w:rPr>
        <w:lastRenderedPageBreak/>
        <w:t>проследяване. У</w:t>
      </w:r>
      <w:r w:rsidR="001B7832">
        <w:rPr>
          <w:rFonts w:ascii="Times New Roman" w:hAnsi="Times New Roman" w:cs="Times New Roman"/>
        </w:rPr>
        <w:t>О</w:t>
      </w:r>
      <w:r w:rsidR="00C61A4E">
        <w:rPr>
          <w:rFonts w:ascii="Times New Roman" w:hAnsi="Times New Roman" w:cs="Times New Roman"/>
        </w:rPr>
        <w:t>/Н</w:t>
      </w:r>
      <w:r w:rsidR="001B7832">
        <w:rPr>
          <w:rFonts w:ascii="Times New Roman" w:hAnsi="Times New Roman" w:cs="Times New Roman"/>
        </w:rPr>
        <w:t>О</w:t>
      </w:r>
      <w:r w:rsidRPr="00785FC5">
        <w:rPr>
          <w:rFonts w:ascii="Times New Roman" w:hAnsi="Times New Roman" w:cs="Times New Roman"/>
        </w:rPr>
        <w:t xml:space="preserve"> анализира всеки сигнал за нередност/подозрение за измама и при необходимост предприема корективни действия за подобряване на контролната среда и избягване на аналогични случаи на нередности в бъдеще, когато се касае за повтарящи се нередности или такива, предизвикани от слабости в контролната среда. Независимо от това, когато нередността е заподозряна или разкрита, трябва да се приложи система за отстраняването й. Тъй като измамата е особен случай на нередност и се отличава от другите видове по умишления си характер, УО</w:t>
      </w:r>
      <w:r w:rsidR="00C61A4E">
        <w:rPr>
          <w:rFonts w:ascii="Times New Roman" w:hAnsi="Times New Roman" w:cs="Times New Roman"/>
        </w:rPr>
        <w:t>/НО</w:t>
      </w:r>
      <w:r w:rsidRPr="00785FC5">
        <w:rPr>
          <w:rFonts w:ascii="Times New Roman" w:hAnsi="Times New Roman" w:cs="Times New Roman"/>
        </w:rPr>
        <w:t xml:space="preserve"> не е компетентен да изрази становище за умишлеността и преднамереността на действията, довели до съмнението за измама. В тези случаи УО</w:t>
      </w:r>
      <w:r w:rsidR="00C61A4E">
        <w:rPr>
          <w:rFonts w:ascii="Times New Roman" w:hAnsi="Times New Roman" w:cs="Times New Roman"/>
        </w:rPr>
        <w:t>/НО</w:t>
      </w:r>
      <w:r w:rsidRPr="00785FC5">
        <w:rPr>
          <w:rFonts w:ascii="Times New Roman" w:hAnsi="Times New Roman" w:cs="Times New Roman"/>
        </w:rPr>
        <w:t xml:space="preserve"> регистрира нередност – подозрение за измама и в изпълнение на </w:t>
      </w:r>
      <w:r w:rsidRPr="00A6112C">
        <w:rPr>
          <w:rFonts w:ascii="Times New Roman" w:hAnsi="Times New Roman" w:cs="Times New Roman"/>
        </w:rPr>
        <w:t xml:space="preserve">задължението по чл. 28, ал. 1 от Наредба за администриране на нередности по европейските структурни </w:t>
      </w:r>
      <w:r w:rsidR="00A6112C" w:rsidRPr="00A6112C">
        <w:rPr>
          <w:rFonts w:ascii="Times New Roman" w:hAnsi="Times New Roman" w:cs="Times New Roman"/>
        </w:rPr>
        <w:t>при споделено управление</w:t>
      </w:r>
      <w:r w:rsidRPr="00A6112C">
        <w:rPr>
          <w:rFonts w:ascii="Times New Roman" w:hAnsi="Times New Roman" w:cs="Times New Roman"/>
        </w:rPr>
        <w:t xml:space="preserve">, приета с </w:t>
      </w:r>
      <w:r w:rsidR="00A6112C" w:rsidRPr="00A6112C">
        <w:rPr>
          <w:rFonts w:ascii="Times New Roman" w:hAnsi="Times New Roman" w:cs="Times New Roman"/>
        </w:rPr>
        <w:t>ПМС № 111 от 10.08.2023 г.</w:t>
      </w:r>
      <w:r w:rsidR="00DE321C" w:rsidRPr="00DE321C">
        <w:rPr>
          <w:rStyle w:val="13"/>
          <w:rFonts w:eastAsia="Arial Unicode MS"/>
          <w:u w:val="none"/>
        </w:rPr>
        <w:tab/>
      </w:r>
      <w:r w:rsidR="003A5CC3" w:rsidRPr="00785FC5">
        <w:rPr>
          <w:rStyle w:val="13"/>
          <w:rFonts w:eastAsia="Arial Unicode MS"/>
        </w:rPr>
        <w:t>Мерки за борба с измамите</w:t>
      </w:r>
      <w:bookmarkEnd w:id="4"/>
    </w:p>
    <w:p w14:paraId="01B19775" w14:textId="5BBB30E3" w:rsidR="006E2247" w:rsidRPr="00785FC5" w:rsidRDefault="003A5CC3" w:rsidP="00947810">
      <w:pPr>
        <w:pStyle w:val="20"/>
        <w:shd w:val="clear" w:color="auto" w:fill="auto"/>
        <w:spacing w:before="0" w:after="0" w:line="360" w:lineRule="auto"/>
        <w:ind w:firstLine="708"/>
        <w:jc w:val="both"/>
      </w:pPr>
      <w:r w:rsidRPr="00785FC5">
        <w:t>УО</w:t>
      </w:r>
      <w:r w:rsidR="001B7832">
        <w:t>/НО</w:t>
      </w:r>
      <w:r w:rsidRPr="00785FC5">
        <w:t xml:space="preserve"> е въвел пропорционални мерки за борба с измамите въз основа на задълбочена оценка на риска от измами (вж. насоките на Комисията относно прилагането на член 125, параграф 4, буква в). </w:t>
      </w:r>
      <w:bookmarkStart w:id="5" w:name="bookmark5"/>
      <w:r w:rsidR="006E2247" w:rsidRPr="00785FC5">
        <w:t>На всеки три месеца УО</w:t>
      </w:r>
      <w:r w:rsidR="00C61A4E">
        <w:t>/НО</w:t>
      </w:r>
      <w:r w:rsidR="006E2247" w:rsidRPr="00785FC5">
        <w:t xml:space="preserve"> докладва установените нередности и подозрения за измама до дирекция АФКОС. Във връзка с инициативата на Комисията за въвеждане на електронното докладване на нередности, е въведена Системата за управление на нередности (IMS) при</w:t>
      </w:r>
      <w:bookmarkStart w:id="6" w:name="_GoBack"/>
      <w:bookmarkEnd w:id="6"/>
      <w:r w:rsidR="006E2247" w:rsidRPr="00785FC5">
        <w:t xml:space="preserve"> докладване на нередности в разходната част от бюджета на ЕС до ОЛАФ.</w:t>
      </w:r>
    </w:p>
    <w:p w14:paraId="150C1C01" w14:textId="51B0FFC5" w:rsidR="00AB77B1" w:rsidRPr="00785FC5" w:rsidRDefault="00DE321C" w:rsidP="00785FC5">
      <w:pPr>
        <w:pStyle w:val="12"/>
        <w:keepNext/>
        <w:keepLines/>
        <w:shd w:val="clear" w:color="auto" w:fill="auto"/>
        <w:spacing w:before="0" w:after="0" w:line="360" w:lineRule="auto"/>
        <w:jc w:val="both"/>
      </w:pPr>
      <w:r w:rsidRPr="00DE321C">
        <w:rPr>
          <w:rStyle w:val="13"/>
          <w:b/>
          <w:bCs/>
          <w:u w:val="none"/>
        </w:rPr>
        <w:tab/>
      </w:r>
      <w:r w:rsidR="003A5CC3" w:rsidRPr="00785FC5">
        <w:rPr>
          <w:rStyle w:val="13"/>
          <w:b/>
          <w:bCs/>
        </w:rPr>
        <w:t>Заключение</w:t>
      </w:r>
      <w:bookmarkEnd w:id="5"/>
    </w:p>
    <w:p w14:paraId="0C9B0432" w14:textId="77777777" w:rsidR="00AB77B1" w:rsidRPr="00785FC5" w:rsidRDefault="003A5CC3" w:rsidP="00947810">
      <w:pPr>
        <w:pStyle w:val="20"/>
        <w:shd w:val="clear" w:color="auto" w:fill="auto"/>
        <w:spacing w:before="0" w:after="240" w:line="360" w:lineRule="auto"/>
        <w:ind w:firstLine="708"/>
        <w:jc w:val="both"/>
      </w:pPr>
      <w:r w:rsidRPr="00785FC5">
        <w:t>Измамите могат да имат множество различни проявления. УО</w:t>
      </w:r>
      <w:r w:rsidR="00C61A4E">
        <w:t>/НО</w:t>
      </w:r>
      <w:r w:rsidRPr="00785FC5">
        <w:t xml:space="preserve"> е възприел политика на нулева толерантност към измамите и корупцията и е въвел стройна система за контрол, която има за цел да предотвратява и открива, доколкото това е практически възможно, извършването на измами и да отстранява въздействието им, ако те настъпят.</w:t>
      </w:r>
    </w:p>
    <w:p w14:paraId="31FCB4A0" w14:textId="0B640B27" w:rsidR="00AB77B1" w:rsidRPr="00785FC5" w:rsidRDefault="003A5CC3" w:rsidP="00947810">
      <w:pPr>
        <w:pStyle w:val="30"/>
        <w:shd w:val="clear" w:color="auto" w:fill="auto"/>
        <w:spacing w:before="0" w:after="0" w:line="360" w:lineRule="auto"/>
        <w:ind w:firstLine="708"/>
        <w:jc w:val="both"/>
      </w:pPr>
      <w:r w:rsidRPr="00785FC5">
        <w:rPr>
          <w:rStyle w:val="31"/>
        </w:rPr>
        <w:t xml:space="preserve">Тази политика и всички съответни процедури и стратегии се подпомагат от </w:t>
      </w:r>
      <w:r w:rsidR="00785FC5" w:rsidRPr="00785FC5">
        <w:t>екип</w:t>
      </w:r>
      <w:r w:rsidR="00785FC5" w:rsidRPr="00785FC5">
        <w:rPr>
          <w:lang w:val="en-US"/>
        </w:rPr>
        <w:t>a</w:t>
      </w:r>
      <w:r w:rsidR="00785FC5" w:rsidRPr="00785FC5">
        <w:t xml:space="preserve"> на постоянната работна група за оценка на риска от измами към Дирекция УТС,</w:t>
      </w:r>
      <w:r w:rsidRPr="00785FC5">
        <w:rPr>
          <w:rStyle w:val="31"/>
        </w:rPr>
        <w:t xml:space="preserve"> ко</w:t>
      </w:r>
      <w:r w:rsidR="002A4C03">
        <w:rPr>
          <w:rStyle w:val="31"/>
        </w:rPr>
        <w:t>я</w:t>
      </w:r>
      <w:r w:rsidRPr="00785FC5">
        <w:rPr>
          <w:rStyle w:val="31"/>
        </w:rPr>
        <w:t xml:space="preserve">то активно ще ги проверява и актуализира </w:t>
      </w:r>
      <w:r w:rsidR="00785FC5" w:rsidRPr="00785FC5">
        <w:rPr>
          <w:rStyle w:val="31"/>
        </w:rPr>
        <w:t>в рамките на работните процедури на груп</w:t>
      </w:r>
      <w:r w:rsidR="00254D0A">
        <w:rPr>
          <w:rStyle w:val="31"/>
        </w:rPr>
        <w:t>ата</w:t>
      </w:r>
      <w:r w:rsidRPr="00785FC5">
        <w:rPr>
          <w:rStyle w:val="31"/>
        </w:rPr>
        <w:t>.</w:t>
      </w:r>
    </w:p>
    <w:sectPr w:rsidR="00AB77B1" w:rsidRPr="00785FC5">
      <w:pgSz w:w="11900" w:h="16840"/>
      <w:pgMar w:top="1455" w:right="1401" w:bottom="1412" w:left="140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ED6CD" w14:textId="77777777" w:rsidR="00DD02D0" w:rsidRDefault="00DD02D0">
      <w:r>
        <w:separator/>
      </w:r>
    </w:p>
  </w:endnote>
  <w:endnote w:type="continuationSeparator" w:id="0">
    <w:p w14:paraId="35715B00" w14:textId="77777777" w:rsidR="00DD02D0" w:rsidRDefault="00DD0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80655" w14:textId="77777777" w:rsidR="00DD02D0" w:rsidRDefault="00DD02D0">
      <w:r>
        <w:separator/>
      </w:r>
    </w:p>
  </w:footnote>
  <w:footnote w:type="continuationSeparator" w:id="0">
    <w:p w14:paraId="42449261" w14:textId="77777777" w:rsidR="00DD02D0" w:rsidRDefault="00DD0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35E95"/>
    <w:multiLevelType w:val="multilevel"/>
    <w:tmpl w:val="64E4EF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88E1AED"/>
    <w:multiLevelType w:val="hybridMultilevel"/>
    <w:tmpl w:val="4B7064A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675E516E"/>
    <w:multiLevelType w:val="hybridMultilevel"/>
    <w:tmpl w:val="CE5C2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7B1"/>
    <w:rsid w:val="000216B0"/>
    <w:rsid w:val="0003605C"/>
    <w:rsid w:val="00102A5D"/>
    <w:rsid w:val="00196941"/>
    <w:rsid w:val="001B7832"/>
    <w:rsid w:val="00207D32"/>
    <w:rsid w:val="00212331"/>
    <w:rsid w:val="00216647"/>
    <w:rsid w:val="0023307E"/>
    <w:rsid w:val="00240B80"/>
    <w:rsid w:val="002417D1"/>
    <w:rsid w:val="00242003"/>
    <w:rsid w:val="00254D0A"/>
    <w:rsid w:val="002A288B"/>
    <w:rsid w:val="002A4C03"/>
    <w:rsid w:val="002A615D"/>
    <w:rsid w:val="00355DED"/>
    <w:rsid w:val="00374C61"/>
    <w:rsid w:val="003933A5"/>
    <w:rsid w:val="00394937"/>
    <w:rsid w:val="003A5CC3"/>
    <w:rsid w:val="00404D6D"/>
    <w:rsid w:val="00451A70"/>
    <w:rsid w:val="0045633C"/>
    <w:rsid w:val="00463970"/>
    <w:rsid w:val="00491C6E"/>
    <w:rsid w:val="00542464"/>
    <w:rsid w:val="0055106D"/>
    <w:rsid w:val="00570CDA"/>
    <w:rsid w:val="00594619"/>
    <w:rsid w:val="005D0402"/>
    <w:rsid w:val="005F75AD"/>
    <w:rsid w:val="00617DFF"/>
    <w:rsid w:val="00654998"/>
    <w:rsid w:val="006D22AF"/>
    <w:rsid w:val="006E2247"/>
    <w:rsid w:val="00715471"/>
    <w:rsid w:val="00727985"/>
    <w:rsid w:val="00785FC5"/>
    <w:rsid w:val="00790001"/>
    <w:rsid w:val="007E05BE"/>
    <w:rsid w:val="00816737"/>
    <w:rsid w:val="00841319"/>
    <w:rsid w:val="008F62B9"/>
    <w:rsid w:val="00947810"/>
    <w:rsid w:val="009825DA"/>
    <w:rsid w:val="009C0321"/>
    <w:rsid w:val="009D2878"/>
    <w:rsid w:val="009D3F33"/>
    <w:rsid w:val="009F7EB0"/>
    <w:rsid w:val="00A5362F"/>
    <w:rsid w:val="00A6112C"/>
    <w:rsid w:val="00A758E9"/>
    <w:rsid w:val="00A86DC2"/>
    <w:rsid w:val="00AB77B1"/>
    <w:rsid w:val="00B553E4"/>
    <w:rsid w:val="00B74DF2"/>
    <w:rsid w:val="00BE0465"/>
    <w:rsid w:val="00C530B0"/>
    <w:rsid w:val="00C61A4E"/>
    <w:rsid w:val="00C644E8"/>
    <w:rsid w:val="00CD30B2"/>
    <w:rsid w:val="00DD02D0"/>
    <w:rsid w:val="00DE321C"/>
    <w:rsid w:val="00E223C3"/>
    <w:rsid w:val="00E603CC"/>
    <w:rsid w:val="00EF3FDA"/>
    <w:rsid w:val="00F10BC3"/>
    <w:rsid w:val="00F126FF"/>
    <w:rsid w:val="00F7310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21102"/>
  <w15:docId w15:val="{627B9604-C477-465F-96B0-2CC06E9DC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bg-BG" w:eastAsia="bg-BG" w:bidi="bg-BG"/>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a">
    <w:name w:val="Бележка под линия_"/>
    <w:basedOn w:val="DefaultParagraphFont"/>
    <w:link w:val="a0"/>
    <w:rPr>
      <w:rFonts w:ascii="Times New Roman" w:eastAsia="Times New Roman" w:hAnsi="Times New Roman" w:cs="Times New Roman"/>
      <w:b/>
      <w:bCs/>
      <w:i w:val="0"/>
      <w:iCs w:val="0"/>
      <w:smallCaps w:val="0"/>
      <w:strike w:val="0"/>
      <w:sz w:val="18"/>
      <w:szCs w:val="18"/>
      <w:u w:val="none"/>
    </w:rPr>
  </w:style>
  <w:style w:type="character" w:customStyle="1" w:styleId="a1">
    <w:name w:val="Бележка под линия + Не е удебелен"/>
    <w:basedOn w:val="a"/>
    <w:rPr>
      <w:rFonts w:ascii="Times New Roman" w:eastAsia="Times New Roman" w:hAnsi="Times New Roman" w:cs="Times New Roman"/>
      <w:b/>
      <w:bCs/>
      <w:i w:val="0"/>
      <w:iCs w:val="0"/>
      <w:smallCaps w:val="0"/>
      <w:strike w:val="0"/>
      <w:color w:val="000000"/>
      <w:spacing w:val="0"/>
      <w:w w:val="100"/>
      <w:position w:val="0"/>
      <w:sz w:val="18"/>
      <w:szCs w:val="18"/>
      <w:u w:val="none"/>
      <w:lang w:val="bg-BG" w:eastAsia="bg-BG" w:bidi="bg-BG"/>
    </w:rPr>
  </w:style>
  <w:style w:type="character" w:customStyle="1" w:styleId="1">
    <w:name w:val="Номер на заглавие #1_"/>
    <w:basedOn w:val="DefaultParagraphFont"/>
    <w:link w:val="10"/>
    <w:rPr>
      <w:rFonts w:ascii="Times New Roman" w:eastAsia="Times New Roman" w:hAnsi="Times New Roman" w:cs="Times New Roman"/>
      <w:b/>
      <w:bCs/>
      <w:i w:val="0"/>
      <w:iCs w:val="0"/>
      <w:smallCaps w:val="0"/>
      <w:strike w:val="0"/>
      <w:u w:val="none"/>
    </w:rPr>
  </w:style>
  <w:style w:type="character" w:customStyle="1" w:styleId="11">
    <w:name w:val="Заглавие #1_"/>
    <w:basedOn w:val="DefaultParagraphFont"/>
    <w:link w:val="12"/>
    <w:rPr>
      <w:rFonts w:ascii="Times New Roman" w:eastAsia="Times New Roman" w:hAnsi="Times New Roman" w:cs="Times New Roman"/>
      <w:b/>
      <w:bCs/>
      <w:i w:val="0"/>
      <w:iCs w:val="0"/>
      <w:smallCaps w:val="0"/>
      <w:strike w:val="0"/>
      <w:u w:val="none"/>
    </w:rPr>
  </w:style>
  <w:style w:type="character" w:customStyle="1" w:styleId="3">
    <w:name w:val="Основен текст (3)_"/>
    <w:basedOn w:val="DefaultParagraphFont"/>
    <w:link w:val="30"/>
    <w:rPr>
      <w:rFonts w:ascii="Times New Roman" w:eastAsia="Times New Roman" w:hAnsi="Times New Roman" w:cs="Times New Roman"/>
      <w:b w:val="0"/>
      <w:bCs w:val="0"/>
      <w:i/>
      <w:iCs/>
      <w:smallCaps w:val="0"/>
      <w:strike w:val="0"/>
      <w:u w:val="none"/>
    </w:rPr>
  </w:style>
  <w:style w:type="character" w:customStyle="1" w:styleId="13">
    <w:name w:val="Заглавие #1"/>
    <w:basedOn w:val="11"/>
    <w:rPr>
      <w:rFonts w:ascii="Times New Roman" w:eastAsia="Times New Roman" w:hAnsi="Times New Roman" w:cs="Times New Roman"/>
      <w:b/>
      <w:bCs/>
      <w:i w:val="0"/>
      <w:iCs w:val="0"/>
      <w:smallCaps w:val="0"/>
      <w:strike w:val="0"/>
      <w:color w:val="000000"/>
      <w:spacing w:val="0"/>
      <w:w w:val="100"/>
      <w:position w:val="0"/>
      <w:sz w:val="24"/>
      <w:szCs w:val="24"/>
      <w:u w:val="single"/>
      <w:lang w:val="bg-BG" w:eastAsia="bg-BG" w:bidi="bg-BG"/>
    </w:rPr>
  </w:style>
  <w:style w:type="character" w:customStyle="1" w:styleId="2">
    <w:name w:val="Основен текст (2)_"/>
    <w:basedOn w:val="DefaultParagraphFont"/>
    <w:link w:val="20"/>
    <w:rPr>
      <w:rFonts w:ascii="Times New Roman" w:eastAsia="Times New Roman" w:hAnsi="Times New Roman" w:cs="Times New Roman"/>
      <w:b w:val="0"/>
      <w:bCs w:val="0"/>
      <w:i w:val="0"/>
      <w:iCs w:val="0"/>
      <w:smallCaps w:val="0"/>
      <w:strike w:val="0"/>
      <w:u w:val="none"/>
    </w:rPr>
  </w:style>
  <w:style w:type="character" w:customStyle="1" w:styleId="21">
    <w:name w:val="Основен текст (2) + Курсив"/>
    <w:basedOn w:val="2"/>
    <w:rPr>
      <w:rFonts w:ascii="Times New Roman" w:eastAsia="Times New Roman" w:hAnsi="Times New Roman" w:cs="Times New Roman"/>
      <w:b w:val="0"/>
      <w:bCs w:val="0"/>
      <w:i/>
      <w:iCs/>
      <w:smallCaps w:val="0"/>
      <w:strike w:val="0"/>
      <w:color w:val="000000"/>
      <w:spacing w:val="0"/>
      <w:w w:val="100"/>
      <w:position w:val="0"/>
      <w:sz w:val="24"/>
      <w:szCs w:val="24"/>
      <w:u w:val="none"/>
      <w:lang w:val="bg-BG" w:eastAsia="bg-BG" w:bidi="bg-BG"/>
    </w:rPr>
  </w:style>
  <w:style w:type="character" w:customStyle="1" w:styleId="22">
    <w:name w:val="Основен текст (2) + Удебелен"/>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4">
    <w:name w:val="Основен текст (4)_"/>
    <w:basedOn w:val="DefaultParagraphFont"/>
    <w:link w:val="40"/>
    <w:rPr>
      <w:rFonts w:ascii="Times New Roman" w:eastAsia="Times New Roman" w:hAnsi="Times New Roman" w:cs="Times New Roman"/>
      <w:b/>
      <w:bCs/>
      <w:i w:val="0"/>
      <w:iCs w:val="0"/>
      <w:smallCaps w:val="0"/>
      <w:strike w:val="0"/>
      <w:u w:val="none"/>
    </w:rPr>
  </w:style>
  <w:style w:type="character" w:customStyle="1" w:styleId="41">
    <w:name w:val="Основен текст (4) + Не е удебелен"/>
    <w:basedOn w:val="4"/>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31">
    <w:name w:val="Основен текст (3) + Не е курсив"/>
    <w:basedOn w:val="3"/>
    <w:rPr>
      <w:rFonts w:ascii="Times New Roman" w:eastAsia="Times New Roman" w:hAnsi="Times New Roman" w:cs="Times New Roman"/>
      <w:b w:val="0"/>
      <w:bCs w:val="0"/>
      <w:i/>
      <w:iCs/>
      <w:smallCaps w:val="0"/>
      <w:strike w:val="0"/>
      <w:color w:val="000000"/>
      <w:spacing w:val="0"/>
      <w:w w:val="100"/>
      <w:position w:val="0"/>
      <w:sz w:val="24"/>
      <w:szCs w:val="24"/>
      <w:u w:val="none"/>
      <w:lang w:val="bg-BG" w:eastAsia="bg-BG" w:bidi="bg-BG"/>
    </w:rPr>
  </w:style>
  <w:style w:type="paragraph" w:customStyle="1" w:styleId="a0">
    <w:name w:val="Бележка под линия"/>
    <w:basedOn w:val="Normal"/>
    <w:link w:val="a"/>
    <w:pPr>
      <w:shd w:val="clear" w:color="auto" w:fill="FFFFFF"/>
      <w:spacing w:line="226" w:lineRule="exact"/>
      <w:jc w:val="both"/>
    </w:pPr>
    <w:rPr>
      <w:rFonts w:ascii="Times New Roman" w:eastAsia="Times New Roman" w:hAnsi="Times New Roman" w:cs="Times New Roman"/>
      <w:b/>
      <w:bCs/>
      <w:sz w:val="18"/>
      <w:szCs w:val="18"/>
    </w:rPr>
  </w:style>
  <w:style w:type="paragraph" w:customStyle="1" w:styleId="10">
    <w:name w:val="Номер на заглавие #1"/>
    <w:basedOn w:val="Normal"/>
    <w:link w:val="1"/>
    <w:pPr>
      <w:shd w:val="clear" w:color="auto" w:fill="FFFFFF"/>
      <w:spacing w:after="300" w:line="0" w:lineRule="atLeast"/>
      <w:jc w:val="right"/>
    </w:pPr>
    <w:rPr>
      <w:rFonts w:ascii="Times New Roman" w:eastAsia="Times New Roman" w:hAnsi="Times New Roman" w:cs="Times New Roman"/>
      <w:b/>
      <w:bCs/>
    </w:rPr>
  </w:style>
  <w:style w:type="paragraph" w:customStyle="1" w:styleId="12">
    <w:name w:val="Заглавие #1"/>
    <w:basedOn w:val="Normal"/>
    <w:link w:val="11"/>
    <w:pPr>
      <w:shd w:val="clear" w:color="auto" w:fill="FFFFFF"/>
      <w:spacing w:before="300" w:after="300" w:line="0" w:lineRule="atLeast"/>
      <w:outlineLvl w:val="0"/>
    </w:pPr>
    <w:rPr>
      <w:rFonts w:ascii="Times New Roman" w:eastAsia="Times New Roman" w:hAnsi="Times New Roman" w:cs="Times New Roman"/>
      <w:b/>
      <w:bCs/>
    </w:rPr>
  </w:style>
  <w:style w:type="paragraph" w:customStyle="1" w:styleId="30">
    <w:name w:val="Основен текст (3)"/>
    <w:basedOn w:val="Normal"/>
    <w:link w:val="3"/>
    <w:pPr>
      <w:shd w:val="clear" w:color="auto" w:fill="FFFFFF"/>
      <w:spacing w:before="300" w:after="300" w:line="250" w:lineRule="exact"/>
    </w:pPr>
    <w:rPr>
      <w:rFonts w:ascii="Times New Roman" w:eastAsia="Times New Roman" w:hAnsi="Times New Roman" w:cs="Times New Roman"/>
      <w:i/>
      <w:iCs/>
    </w:rPr>
  </w:style>
  <w:style w:type="paragraph" w:customStyle="1" w:styleId="20">
    <w:name w:val="Основен текст (2)"/>
    <w:basedOn w:val="Normal"/>
    <w:link w:val="2"/>
    <w:pPr>
      <w:shd w:val="clear" w:color="auto" w:fill="FFFFFF"/>
      <w:spacing w:before="300" w:after="300" w:line="274" w:lineRule="exact"/>
      <w:ind w:hanging="400"/>
    </w:pPr>
    <w:rPr>
      <w:rFonts w:ascii="Times New Roman" w:eastAsia="Times New Roman" w:hAnsi="Times New Roman" w:cs="Times New Roman"/>
    </w:rPr>
  </w:style>
  <w:style w:type="paragraph" w:customStyle="1" w:styleId="40">
    <w:name w:val="Основен текст (4)"/>
    <w:basedOn w:val="Normal"/>
    <w:link w:val="4"/>
    <w:pPr>
      <w:shd w:val="clear" w:color="auto" w:fill="FFFFFF"/>
      <w:spacing w:before="300" w:after="300" w:line="0" w:lineRule="atLeast"/>
    </w:pPr>
    <w:rPr>
      <w:rFonts w:ascii="Times New Roman" w:eastAsia="Times New Roman" w:hAnsi="Times New Roman" w:cs="Times New Roman"/>
      <w:b/>
      <w:bCs/>
    </w:rPr>
  </w:style>
  <w:style w:type="paragraph" w:styleId="NoSpacing">
    <w:name w:val="No Spacing"/>
    <w:uiPriority w:val="1"/>
    <w:qFormat/>
    <w:rsid w:val="00785FC5"/>
    <w:rPr>
      <w:color w:val="000000"/>
    </w:rPr>
  </w:style>
  <w:style w:type="paragraph" w:styleId="BalloonText">
    <w:name w:val="Balloon Text"/>
    <w:basedOn w:val="Normal"/>
    <w:link w:val="BalloonTextChar"/>
    <w:uiPriority w:val="99"/>
    <w:semiHidden/>
    <w:unhideWhenUsed/>
    <w:rsid w:val="001B78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832"/>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404D6D"/>
    <w:rPr>
      <w:sz w:val="16"/>
      <w:szCs w:val="16"/>
    </w:rPr>
  </w:style>
  <w:style w:type="paragraph" w:styleId="CommentText">
    <w:name w:val="annotation text"/>
    <w:basedOn w:val="Normal"/>
    <w:link w:val="CommentTextChar"/>
    <w:uiPriority w:val="99"/>
    <w:semiHidden/>
    <w:unhideWhenUsed/>
    <w:rsid w:val="00404D6D"/>
    <w:rPr>
      <w:sz w:val="20"/>
      <w:szCs w:val="20"/>
    </w:rPr>
  </w:style>
  <w:style w:type="character" w:customStyle="1" w:styleId="CommentTextChar">
    <w:name w:val="Comment Text Char"/>
    <w:basedOn w:val="DefaultParagraphFont"/>
    <w:link w:val="CommentText"/>
    <w:uiPriority w:val="99"/>
    <w:semiHidden/>
    <w:rsid w:val="00404D6D"/>
    <w:rPr>
      <w:color w:val="000000"/>
      <w:sz w:val="20"/>
      <w:szCs w:val="20"/>
    </w:rPr>
  </w:style>
  <w:style w:type="paragraph" w:styleId="CommentSubject">
    <w:name w:val="annotation subject"/>
    <w:basedOn w:val="CommentText"/>
    <w:next w:val="CommentText"/>
    <w:link w:val="CommentSubjectChar"/>
    <w:uiPriority w:val="99"/>
    <w:semiHidden/>
    <w:unhideWhenUsed/>
    <w:rsid w:val="00404D6D"/>
    <w:rPr>
      <w:b/>
      <w:bCs/>
    </w:rPr>
  </w:style>
  <w:style w:type="character" w:customStyle="1" w:styleId="CommentSubjectChar">
    <w:name w:val="Comment Subject Char"/>
    <w:basedOn w:val="CommentTextChar"/>
    <w:link w:val="CommentSubject"/>
    <w:uiPriority w:val="99"/>
    <w:semiHidden/>
    <w:rsid w:val="00404D6D"/>
    <w:rPr>
      <w:b/>
      <w:bCs/>
      <w:color w:val="000000"/>
      <w:sz w:val="20"/>
      <w:szCs w:val="20"/>
    </w:rPr>
  </w:style>
  <w:style w:type="paragraph" w:styleId="ListParagraph">
    <w:name w:val="List Paragraph"/>
    <w:basedOn w:val="Normal"/>
    <w:uiPriority w:val="34"/>
    <w:qFormat/>
    <w:rsid w:val="009825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AF164-D9E0-4E60-A8AD-E4C3DDAB0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TotalTime>
  <Pages>9</Pages>
  <Words>2956</Words>
  <Characters>16852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Denitsa Vladimirova Aleksandrova</cp:lastModifiedBy>
  <cp:revision>32</cp:revision>
  <dcterms:created xsi:type="dcterms:W3CDTF">2022-02-16T10:56:00Z</dcterms:created>
  <dcterms:modified xsi:type="dcterms:W3CDTF">2026-04-27T12:05:00Z</dcterms:modified>
</cp:coreProperties>
</file>